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pacing w:val="-2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-20"/>
          <w:sz w:val="28"/>
          <w:szCs w:val="28"/>
        </w:rPr>
        <w:t>附件：</w:t>
      </w:r>
    </w:p>
    <w:tbl>
      <w:tblPr>
        <w:tblStyle w:val="6"/>
        <w:tblW w:w="8343" w:type="dxa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8" w:hRule="atLeast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6"/>
              <w:tblW w:w="8306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9"/>
              <w:gridCol w:w="3367"/>
              <w:gridCol w:w="2593"/>
              <w:gridCol w:w="957"/>
              <w:gridCol w:w="25"/>
              <w:gridCol w:w="2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5" w:type="dxa"/>
                <w:trHeight w:val="1245" w:hRule="atLeast"/>
              </w:trPr>
              <w:tc>
                <w:tcPr>
                  <w:tcW w:w="82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32"/>
                      <w:szCs w:val="32"/>
                      <w:lang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32"/>
                      <w:szCs w:val="32"/>
                      <w:lang w:bidi="ar"/>
                    </w:rPr>
                    <w:t xml:space="preserve">                上海农林职业技术学院</w:t>
                  </w: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32"/>
                      <w:szCs w:val="32"/>
                      <w:lang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32"/>
                      <w:szCs w:val="32"/>
                      <w:lang w:bidi="ar"/>
                    </w:rPr>
                    <w:t xml:space="preserve">               横向科研项目经费预算表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339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项目编号：</w:t>
                  </w:r>
                </w:p>
              </w:tc>
              <w:tc>
                <w:tcPr>
                  <w:tcW w:w="3367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b/>
                      <w:color w:val="00000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3600" w:type="dxa"/>
                  <w:gridSpan w:val="4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项目名称：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339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项目负责人：</w:t>
                  </w:r>
                </w:p>
              </w:tc>
              <w:tc>
                <w:tcPr>
                  <w:tcW w:w="33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360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委托单位名称：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8306" w:type="dxa"/>
                  <w:gridSpan w:val="6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Style w:val="10"/>
                      <w:rFonts w:hint="default"/>
                      <w:lang w:bidi="ar"/>
                    </w:rPr>
                    <w:t>资金来源性质：</w:t>
                  </w:r>
                  <w:r>
                    <w:rPr>
                      <w:rStyle w:val="11"/>
                      <w:lang w:bidi="ar"/>
                    </w:rPr>
                    <w:t>□</w:t>
                  </w:r>
                  <w:r>
                    <w:rPr>
                      <w:rStyle w:val="10"/>
                      <w:rFonts w:hint="default"/>
                      <w:lang w:bidi="ar"/>
                    </w:rPr>
                    <w:t xml:space="preserve">财政性质资金 </w:t>
                  </w:r>
                  <w:r>
                    <w:rPr>
                      <w:rStyle w:val="11"/>
                      <w:lang w:bidi="ar"/>
                    </w:rPr>
                    <w:sym w:font="Wingdings 2" w:char="00A3"/>
                  </w:r>
                  <w:r>
                    <w:rPr>
                      <w:rStyle w:val="10"/>
                      <w:rFonts w:hint="default"/>
                      <w:lang w:bidi="ar"/>
                    </w:rPr>
                    <w:t>非财政性质资金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339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合同期限：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5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339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合同金额：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（元）</w:t>
                  </w:r>
                </w:p>
              </w:tc>
              <w:tc>
                <w:tcPr>
                  <w:tcW w:w="5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299" w:type="dxa"/>
                  <w:gridSpan w:val="3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科研经费支出范围</w:t>
                  </w:r>
                </w:p>
              </w:tc>
              <w:tc>
                <w:tcPr>
                  <w:tcW w:w="100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预算金额（元）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5" w:hRule="atLeast"/>
              </w:trPr>
              <w:tc>
                <w:tcPr>
                  <w:tcW w:w="1339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直接费用</w:t>
                  </w: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eastAsia="zh-CN" w:bidi="ar"/>
                    </w:rPr>
                    <w:t>（含税）</w:t>
                  </w:r>
                </w:p>
              </w:tc>
              <w:tc>
                <w:tcPr>
                  <w:tcW w:w="33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  <w:r>
                    <w:rPr>
                      <w:rStyle w:val="12"/>
                      <w:rFonts w:hint="default"/>
                      <w:lang w:bidi="ar"/>
                    </w:rPr>
                    <w:t>设备费：</w:t>
                  </w:r>
                  <w:r>
                    <w:rPr>
                      <w:rStyle w:val="13"/>
                      <w:rFonts w:hint="default"/>
                      <w:lang w:bidi="ar"/>
                    </w:rPr>
                    <w:t xml:space="preserve">指在项目实施过程中购置或试制专用仪器设备，对现有仪器设备进行升级改造，以及租赁外单位仪器设备而发生的费用。计算类仪器设备和软件工具可在设备费科目列支。                      </w:t>
                  </w:r>
                </w:p>
              </w:tc>
              <w:tc>
                <w:tcPr>
                  <w:tcW w:w="25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bidi="ar"/>
                    </w:rPr>
                    <w:t>项目实施过程中购置或试制专用仪器设备，对现有仪器设备进行升级改造</w:t>
                  </w:r>
                </w:p>
              </w:tc>
              <w:tc>
                <w:tcPr>
                  <w:tcW w:w="100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1339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33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25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bidi="ar"/>
                    </w:rPr>
                    <w:t>租赁外单位仪器设备而发生的费用</w:t>
                  </w:r>
                </w:p>
              </w:tc>
              <w:tc>
                <w:tcPr>
                  <w:tcW w:w="9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5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05" w:hRule="atLeast"/>
              </w:trPr>
              <w:tc>
                <w:tcPr>
                  <w:tcW w:w="1339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336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Style w:val="12"/>
                      <w:rFonts w:hint="default"/>
                      <w:color w:val="auto"/>
                      <w:lang w:bidi="ar"/>
                    </w:rPr>
                    <w:t>业务费：</w:t>
                  </w:r>
                  <w:r>
                    <w:rPr>
                      <w:rStyle w:val="13"/>
                      <w:rFonts w:hint="default"/>
                      <w:color w:val="auto"/>
                      <w:lang w:bidi="ar"/>
                    </w:rPr>
                    <w:t>指在项目实施过程中消耗的各种材料、辅助材料等低值易耗品的采购、运输、装卸、整理等费用，发生的测试化验加工、燃料动力、会议/差旅/国际合作与交流、出版/文献/信息传播/知识产权事务、图书资料、培训、学会协会等社会团体会费等费用，以及其他相关支出。</w:t>
                  </w:r>
                </w:p>
              </w:tc>
              <w:tc>
                <w:tcPr>
                  <w:tcW w:w="25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bidi="ar"/>
                    </w:rPr>
                    <w:t>项目实施过程中消耗的各种材料、辅助材料等低值易耗品的采购、运输、装卸、整理等费用，发生的测试化验加工、会议/差旅/国际合作与交流、出版/文献/信息传播/知识产权事务、图书资料、培训、学会协会等社会团体会费等费用，以及其他相关支出。</w:t>
                  </w:r>
                </w:p>
              </w:tc>
              <w:tc>
                <w:tcPr>
                  <w:tcW w:w="100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00" w:hRule="atLeast"/>
              </w:trPr>
              <w:tc>
                <w:tcPr>
                  <w:tcW w:w="1339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59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  <w:r>
                    <w:rPr>
                      <w:rStyle w:val="12"/>
                      <w:rFonts w:hint="default"/>
                      <w:lang w:bidi="ar"/>
                    </w:rPr>
                    <w:t>劳务费：</w:t>
                  </w:r>
                  <w:r>
                    <w:rPr>
                      <w:rStyle w:val="12"/>
                      <w:rFonts w:hint="default"/>
                      <w:b w:val="0"/>
                      <w:bCs/>
                      <w:lang w:bidi="ar"/>
                    </w:rPr>
                    <w:t>由项目组按需据实列支。在保证研究任务按计划完成的前提下，劳务费开支原则上不超过项目实际到款额的50%；对于软科学类、软件开发类等项目，劳务费开支不超过项目实际到款额的80%。学校在编人员列支的劳务费不得超过劳务费预算的50%，不纳入学校核定的绩效工资总量。</w:t>
                  </w:r>
                </w:p>
              </w:tc>
              <w:tc>
                <w:tcPr>
                  <w:tcW w:w="100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09" w:hRule="atLeast"/>
              </w:trPr>
              <w:tc>
                <w:tcPr>
                  <w:tcW w:w="7299" w:type="dxa"/>
                  <w:gridSpan w:val="3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  <w:r>
                    <w:rPr>
                      <w:rStyle w:val="12"/>
                      <w:rFonts w:hint="default"/>
                      <w:lang w:bidi="ar"/>
                    </w:rPr>
                    <w:t>管理费：</w:t>
                  </w:r>
                  <w:r>
                    <w:rPr>
                      <w:rStyle w:val="13"/>
                      <w:rFonts w:hint="default"/>
                      <w:lang w:bidi="ar"/>
                    </w:rPr>
                    <w:t>学校提取横向科研项目到账经费的一定比例作为管理费，主要用于横向科研项目执行期间发生的现有仪器设备及房屋摊销费，水、电、气、暖消耗费，有关管理费用的补助支出，学校及各二级学院科研业务及绩效支出等（管理费按照项目到账金额</w:t>
                  </w:r>
                  <w:r>
                    <w:rPr>
                      <w:rStyle w:val="13"/>
                      <w:rFonts w:hint="eastAsia" w:eastAsia="宋体"/>
                      <w:lang w:val="en-US" w:eastAsia="zh-CN" w:bidi="ar"/>
                    </w:rPr>
                    <w:t>5%</w:t>
                  </w:r>
                  <w:r>
                    <w:rPr>
                      <w:rStyle w:val="13"/>
                      <w:rFonts w:hint="default"/>
                      <w:lang w:bidi="ar"/>
                    </w:rPr>
                    <w:t>提取）</w:t>
                  </w:r>
                </w:p>
              </w:tc>
              <w:tc>
                <w:tcPr>
                  <w:tcW w:w="100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</w:trPr>
              <w:tc>
                <w:tcPr>
                  <w:tcW w:w="729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合计</w:t>
                  </w:r>
                </w:p>
              </w:tc>
              <w:tc>
                <w:tcPr>
                  <w:tcW w:w="100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8" w:hRule="atLeast"/>
              </w:trPr>
              <w:tc>
                <w:tcPr>
                  <w:tcW w:w="729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</w:pP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</w:pP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</w:pP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</w:pP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 xml:space="preserve">                          项目负责人（签字）：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</w:pP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 xml:space="preserve">                           所在部门（盖章）：</w:t>
                  </w:r>
                </w:p>
              </w:tc>
              <w:tc>
                <w:tcPr>
                  <w:tcW w:w="1007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color w:val="000000"/>
                      <w:sz w:val="22"/>
                    </w:rPr>
                  </w:pP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pacing w:val="-20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pacing w:val="-20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pacing w:val="-20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pacing w:val="-20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pacing w:val="-2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3108819"/>
    </w:sdtPr>
    <w:sdtEndPr>
      <w:rPr>
        <w:rFonts w:ascii="Times New Roman" w:hAnsi="Times New Roman" w:cs="Times New Roman"/>
      </w:rPr>
    </w:sdtEndPr>
    <w:sdtContent>
      <w:p>
        <w:pPr>
          <w:pStyle w:val="2"/>
          <w:ind w:right="21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Style w:val="5"/>
            <w:rFonts w:ascii="Times New Roman" w:hAnsi="Times New Roman" w:cs="Times New Roman"/>
            <w:sz w:val="28"/>
            <w:szCs w:val="28"/>
          </w:rPr>
          <w:t>—</w:t>
        </w:r>
        <w:r>
          <w:rPr>
            <w:rStyle w:val="5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5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5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5"/>
            <w:rFonts w:ascii="Times New Roman" w:hAnsi="Times New Roman" w:cs="Times New Roman"/>
            <w:sz w:val="28"/>
            <w:szCs w:val="28"/>
          </w:rPr>
          <w:t>1</w:t>
        </w:r>
        <w:r>
          <w:rPr>
            <w:rStyle w:val="5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5"/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Style w:val="5"/>
        <w:rFonts w:ascii="Times New Roman" w:hAnsi="Times New Roman" w:cs="Times New Roman"/>
        <w:sz w:val="28"/>
        <w:szCs w:val="28"/>
      </w:rPr>
      <w:fldChar w:fldCharType="begin"/>
    </w:r>
    <w:r>
      <w:rPr>
        <w:rStyle w:val="5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5"/>
        <w:rFonts w:ascii="Times New Roman" w:hAnsi="Times New Roman" w:cs="Times New Roman"/>
        <w:sz w:val="28"/>
        <w:szCs w:val="28"/>
      </w:rPr>
      <w:fldChar w:fldCharType="separate"/>
    </w:r>
    <w:r>
      <w:rPr>
        <w:rStyle w:val="5"/>
        <w:rFonts w:ascii="Times New Roman" w:hAnsi="Times New Roman" w:cs="Times New Roman"/>
        <w:sz w:val="28"/>
        <w:szCs w:val="28"/>
      </w:rPr>
      <w:t>2</w:t>
    </w:r>
    <w:r>
      <w:rPr>
        <w:rStyle w:val="5"/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FC"/>
    <w:rsid w:val="00152615"/>
    <w:rsid w:val="002660AD"/>
    <w:rsid w:val="00292EF3"/>
    <w:rsid w:val="002D1CD6"/>
    <w:rsid w:val="00424371"/>
    <w:rsid w:val="005E1271"/>
    <w:rsid w:val="00B82486"/>
    <w:rsid w:val="00C2486D"/>
    <w:rsid w:val="00C876FC"/>
    <w:rsid w:val="00E473B4"/>
    <w:rsid w:val="00E82DC8"/>
    <w:rsid w:val="01AD71E7"/>
    <w:rsid w:val="041F131D"/>
    <w:rsid w:val="04B614DC"/>
    <w:rsid w:val="06422838"/>
    <w:rsid w:val="066B71FC"/>
    <w:rsid w:val="06AC5037"/>
    <w:rsid w:val="07165D36"/>
    <w:rsid w:val="089C46D3"/>
    <w:rsid w:val="08A659D0"/>
    <w:rsid w:val="09DF24B4"/>
    <w:rsid w:val="09EE597E"/>
    <w:rsid w:val="0D033A22"/>
    <w:rsid w:val="0D185DDE"/>
    <w:rsid w:val="0D5B6EA2"/>
    <w:rsid w:val="0DB92E80"/>
    <w:rsid w:val="0EF35F49"/>
    <w:rsid w:val="0F1F1042"/>
    <w:rsid w:val="0F4D1EC7"/>
    <w:rsid w:val="0F8B2145"/>
    <w:rsid w:val="0FBC6B27"/>
    <w:rsid w:val="10180D89"/>
    <w:rsid w:val="10DF0599"/>
    <w:rsid w:val="13F74282"/>
    <w:rsid w:val="158C199A"/>
    <w:rsid w:val="16A4277F"/>
    <w:rsid w:val="17DC76E9"/>
    <w:rsid w:val="18622371"/>
    <w:rsid w:val="19521499"/>
    <w:rsid w:val="198D1AFB"/>
    <w:rsid w:val="19A54DCE"/>
    <w:rsid w:val="19E5143A"/>
    <w:rsid w:val="1A8B3173"/>
    <w:rsid w:val="1C3F03CE"/>
    <w:rsid w:val="1D362CD4"/>
    <w:rsid w:val="1DBE1B90"/>
    <w:rsid w:val="1E194BFA"/>
    <w:rsid w:val="1E46307A"/>
    <w:rsid w:val="1EA714CB"/>
    <w:rsid w:val="1F3F2C0F"/>
    <w:rsid w:val="1FFF2662"/>
    <w:rsid w:val="223B45FC"/>
    <w:rsid w:val="25686DBB"/>
    <w:rsid w:val="2661155C"/>
    <w:rsid w:val="26742760"/>
    <w:rsid w:val="26884B19"/>
    <w:rsid w:val="271B175A"/>
    <w:rsid w:val="2750707B"/>
    <w:rsid w:val="27D124C5"/>
    <w:rsid w:val="27F35152"/>
    <w:rsid w:val="296635AB"/>
    <w:rsid w:val="29D778D0"/>
    <w:rsid w:val="29DF15AA"/>
    <w:rsid w:val="29F90AD9"/>
    <w:rsid w:val="2BB1649B"/>
    <w:rsid w:val="2F6C512D"/>
    <w:rsid w:val="2FAB640D"/>
    <w:rsid w:val="2FD770FA"/>
    <w:rsid w:val="30791063"/>
    <w:rsid w:val="307B7BCB"/>
    <w:rsid w:val="32FE1978"/>
    <w:rsid w:val="33B61246"/>
    <w:rsid w:val="33C865A7"/>
    <w:rsid w:val="33C94587"/>
    <w:rsid w:val="34332E15"/>
    <w:rsid w:val="356F5A57"/>
    <w:rsid w:val="35932806"/>
    <w:rsid w:val="35A7682D"/>
    <w:rsid w:val="36D331AF"/>
    <w:rsid w:val="379B0EBC"/>
    <w:rsid w:val="389627E1"/>
    <w:rsid w:val="399C22DF"/>
    <w:rsid w:val="3A121505"/>
    <w:rsid w:val="3A1F0C99"/>
    <w:rsid w:val="3A2332AC"/>
    <w:rsid w:val="3B585FC1"/>
    <w:rsid w:val="3B9A4665"/>
    <w:rsid w:val="3B9E3B5D"/>
    <w:rsid w:val="3BDC3AD3"/>
    <w:rsid w:val="3D591156"/>
    <w:rsid w:val="3D997657"/>
    <w:rsid w:val="3E507E31"/>
    <w:rsid w:val="3E6F0E00"/>
    <w:rsid w:val="3EC611BC"/>
    <w:rsid w:val="3ED566F2"/>
    <w:rsid w:val="3F0E5D36"/>
    <w:rsid w:val="418157AD"/>
    <w:rsid w:val="4302571F"/>
    <w:rsid w:val="441402A8"/>
    <w:rsid w:val="441A7DCF"/>
    <w:rsid w:val="448A1E55"/>
    <w:rsid w:val="45DB14A2"/>
    <w:rsid w:val="46CE3A39"/>
    <w:rsid w:val="46ED61DB"/>
    <w:rsid w:val="470853C1"/>
    <w:rsid w:val="47B358AE"/>
    <w:rsid w:val="4861532D"/>
    <w:rsid w:val="4DE04193"/>
    <w:rsid w:val="4EC10C2B"/>
    <w:rsid w:val="4EDE2EB0"/>
    <w:rsid w:val="5040751D"/>
    <w:rsid w:val="53997020"/>
    <w:rsid w:val="53B501C9"/>
    <w:rsid w:val="55A972DE"/>
    <w:rsid w:val="56D757B4"/>
    <w:rsid w:val="595779E1"/>
    <w:rsid w:val="5A781C5C"/>
    <w:rsid w:val="5FD2188C"/>
    <w:rsid w:val="61007BC2"/>
    <w:rsid w:val="62EC533A"/>
    <w:rsid w:val="658F58D3"/>
    <w:rsid w:val="65B215FA"/>
    <w:rsid w:val="65B3758D"/>
    <w:rsid w:val="65BC7B70"/>
    <w:rsid w:val="65E55E5C"/>
    <w:rsid w:val="67A63924"/>
    <w:rsid w:val="68B138DE"/>
    <w:rsid w:val="693C4926"/>
    <w:rsid w:val="6A704078"/>
    <w:rsid w:val="6B1E47E3"/>
    <w:rsid w:val="6B427B3E"/>
    <w:rsid w:val="6B5B1D6B"/>
    <w:rsid w:val="6BD05248"/>
    <w:rsid w:val="6BF82845"/>
    <w:rsid w:val="6CBB7E85"/>
    <w:rsid w:val="6CC30C33"/>
    <w:rsid w:val="71995329"/>
    <w:rsid w:val="72F12DBB"/>
    <w:rsid w:val="72FD550B"/>
    <w:rsid w:val="74BD5A50"/>
    <w:rsid w:val="75DF7466"/>
    <w:rsid w:val="76F22220"/>
    <w:rsid w:val="77BF7367"/>
    <w:rsid w:val="782922AC"/>
    <w:rsid w:val="794F1D1E"/>
    <w:rsid w:val="7C6679B5"/>
    <w:rsid w:val="7D8B7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59"/>
    <w:rPr>
      <w:rFonts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sz w:val="18"/>
      <w:szCs w:val="18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41"/>
    <w:basedOn w:val="4"/>
    <w:qFormat/>
    <w:uiPriority w:val="0"/>
    <w:rPr>
      <w:rFonts w:ascii="等线" w:hAnsi="等线" w:eastAsia="等线" w:cs="等线"/>
      <w:b/>
      <w:color w:val="000000"/>
      <w:sz w:val="22"/>
      <w:szCs w:val="22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3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31"/>
    <w:basedOn w:val="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778</Characters>
  <Lines>6</Lines>
  <Paragraphs>1</Paragraphs>
  <TotalTime>1</TotalTime>
  <ScaleCrop>false</ScaleCrop>
  <LinksUpToDate>false</LinksUpToDate>
  <CharactersWithSpaces>913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2025-03-26T05:31:00Z</dcterms:created>
  <dc:creator>钟小茵</dc:creator>
  <cp:lastModifiedBy>112005</cp:lastModifiedBy>
  <cp:lastPrinted>2024-05-21T02:41:00Z</cp:lastPrinted>
  <dcterms:modified xsi:type="dcterms:W3CDTF">2025-12-05T07:49:48Z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