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5F" w:rsidRDefault="00EC375F" w:rsidP="00EC375F">
      <w:pPr>
        <w:spacing w:line="560" w:lineRule="exact"/>
        <w:rPr>
          <w:rFonts w:ascii="黑体" w:eastAsia="黑体" w:hint="eastAsia"/>
          <w:sz w:val="32"/>
        </w:rPr>
      </w:pPr>
    </w:p>
    <w:p w:rsidR="00EC375F" w:rsidRPr="00B60268" w:rsidRDefault="00EC375F" w:rsidP="00EC375F">
      <w:pPr>
        <w:rPr>
          <w:rFonts w:ascii="黑体" w:eastAsia="黑体" w:hint="eastAsia"/>
          <w:sz w:val="32"/>
          <w:szCs w:val="32"/>
        </w:rPr>
      </w:pPr>
    </w:p>
    <w:p w:rsidR="00EC375F" w:rsidRPr="00B60268" w:rsidRDefault="00EC375F" w:rsidP="00EC375F">
      <w:pPr>
        <w:spacing w:line="460" w:lineRule="exact"/>
        <w:ind w:firstLine="180"/>
        <w:jc w:val="center"/>
        <w:rPr>
          <w:rFonts w:ascii="方正小标宋简体" w:eastAsia="方正小标宋简体" w:hint="eastAsia"/>
          <w:sz w:val="38"/>
          <w:szCs w:val="38"/>
        </w:rPr>
      </w:pPr>
      <w:r w:rsidRPr="00B60268">
        <w:rPr>
          <w:rFonts w:ascii="方正小标宋简体" w:eastAsia="方正小标宋简体" w:hAnsi="黑体" w:hint="eastAsia"/>
          <w:sz w:val="38"/>
          <w:szCs w:val="38"/>
        </w:rPr>
        <w:t>上海市教育改革和发展</w:t>
      </w:r>
      <w:r w:rsidRPr="00B60268">
        <w:rPr>
          <w:rFonts w:ascii="方正小标宋简体" w:eastAsia="方正小标宋简体" w:hint="eastAsia"/>
          <w:sz w:val="38"/>
          <w:szCs w:val="38"/>
        </w:rPr>
        <w:t>“</w:t>
      </w:r>
      <w:r w:rsidRPr="00B60268">
        <w:rPr>
          <w:rFonts w:ascii="方正小标宋简体" w:eastAsia="方正小标宋简体" w:hAnsi="黑体" w:hint="eastAsia"/>
          <w:sz w:val="38"/>
          <w:szCs w:val="38"/>
        </w:rPr>
        <w:t>十三五</w:t>
      </w:r>
      <w:r w:rsidRPr="00B60268">
        <w:rPr>
          <w:rFonts w:ascii="方正小标宋简体" w:eastAsia="方正小标宋简体" w:hint="eastAsia"/>
          <w:sz w:val="38"/>
          <w:szCs w:val="38"/>
        </w:rPr>
        <w:t>”</w:t>
      </w:r>
      <w:r w:rsidRPr="00B60268">
        <w:rPr>
          <w:rFonts w:ascii="方正小标宋简体" w:eastAsia="方正小标宋简体" w:hAnsi="黑体" w:hint="eastAsia"/>
          <w:sz w:val="38"/>
          <w:szCs w:val="38"/>
        </w:rPr>
        <w:t>规划</w:t>
      </w:r>
    </w:p>
    <w:p w:rsidR="00EC375F" w:rsidRDefault="00EC375F" w:rsidP="00EC375F">
      <w:pPr>
        <w:tabs>
          <w:tab w:val="center" w:pos="4153"/>
          <w:tab w:val="left" w:pos="6900"/>
        </w:tabs>
        <w:spacing w:line="460" w:lineRule="exact"/>
        <w:ind w:firstLine="180"/>
        <w:jc w:val="center"/>
        <w:rPr>
          <w:rFonts w:ascii="方正小标宋简体" w:eastAsia="方正小标宋简体" w:hAnsi="黑体" w:hint="eastAsia"/>
          <w:sz w:val="38"/>
          <w:szCs w:val="38"/>
        </w:rPr>
      </w:pPr>
      <w:r w:rsidRPr="00B60268">
        <w:rPr>
          <w:rFonts w:ascii="方正小标宋简体" w:eastAsia="方正小标宋简体" w:hAnsi="黑体" w:hint="eastAsia"/>
          <w:sz w:val="38"/>
          <w:szCs w:val="38"/>
        </w:rPr>
        <w:t>系列课题研究指南</w:t>
      </w:r>
    </w:p>
    <w:p w:rsidR="00EC375F" w:rsidRPr="00787603" w:rsidRDefault="00EC375F" w:rsidP="00EC375F">
      <w:pPr>
        <w:tabs>
          <w:tab w:val="center" w:pos="4153"/>
          <w:tab w:val="left" w:pos="6900"/>
        </w:tabs>
        <w:spacing w:line="460" w:lineRule="exact"/>
        <w:jc w:val="center"/>
        <w:rPr>
          <w:rFonts w:eastAsia="黑体"/>
          <w:sz w:val="32"/>
          <w:szCs w:val="32"/>
        </w:rPr>
      </w:pPr>
    </w:p>
    <w:tbl>
      <w:tblPr>
        <w:tblW w:w="4724"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
        <w:gridCol w:w="2535"/>
        <w:gridCol w:w="3997"/>
        <w:gridCol w:w="796"/>
      </w:tblGrid>
      <w:tr w:rsidR="00EC375F" w:rsidRPr="00787603" w:rsidTr="0016101E">
        <w:trPr>
          <w:trHeight w:val="547"/>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序号</w:t>
            </w:r>
          </w:p>
        </w:tc>
        <w:tc>
          <w:tcPr>
            <w:tcW w:w="157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选</w:t>
            </w:r>
            <w:r w:rsidRPr="00B60268">
              <w:rPr>
                <w:rFonts w:ascii="宋体" w:hAnsi="宋体"/>
                <w:szCs w:val="21"/>
              </w:rPr>
              <w:t xml:space="preserve"> </w:t>
            </w:r>
            <w:r w:rsidRPr="00B60268">
              <w:rPr>
                <w:rFonts w:ascii="宋体" w:hAnsi="宋体" w:hint="eastAsia"/>
                <w:szCs w:val="21"/>
              </w:rPr>
              <w:t>题</w:t>
            </w:r>
          </w:p>
        </w:tc>
        <w:tc>
          <w:tcPr>
            <w:tcW w:w="2482"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研究重点</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类别</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国家教育发展战略的新动向和新趋势研究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我国经济新常态对教育发展带来的新机遇和新挑战，以及上海教育改革发展的应对策略；国家科技政策、产业政策、公共服务政策的新变化，对教育发展带来的新机遇和新挑战；国家推进教育综合改革、实现教育治理现代化的理念与举措</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2</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与建设现代化国际大都市相匹配的上海教育事业发展总体战略研究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对</w:t>
            </w:r>
            <w:proofErr w:type="gramStart"/>
            <w:r w:rsidRPr="00B60268">
              <w:rPr>
                <w:rFonts w:ascii="宋体" w:hAnsi="宋体" w:hint="eastAsia"/>
                <w:szCs w:val="21"/>
              </w:rPr>
              <w:t>标国际</w:t>
            </w:r>
            <w:proofErr w:type="gramEnd"/>
            <w:r w:rsidRPr="00B60268">
              <w:rPr>
                <w:rFonts w:ascii="宋体" w:hAnsi="宋体" w:hint="eastAsia"/>
                <w:szCs w:val="21"/>
              </w:rPr>
              <w:t>大都市，研究分析上海教育发展的主要差距、瓶颈制约及主要对策；上海建设现代化国际大都市对人才需求、智力支撑、文化引领等方面提出的新任务；与建设现代化国际大都市相适应的上海教育核心理念、主要目标、总体思路和战略举措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3</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上海高校在建设具有全球影响力的科技创新中心的作用及路径研究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世界科技创新中心的发展趋势和主要特点；大学在世界科技创新中心形成中的作用和基本经验；对</w:t>
            </w:r>
            <w:proofErr w:type="gramStart"/>
            <w:r w:rsidRPr="00B60268">
              <w:rPr>
                <w:rFonts w:ascii="宋体" w:hAnsi="宋体" w:hint="eastAsia"/>
                <w:szCs w:val="21"/>
              </w:rPr>
              <w:t>标国际</w:t>
            </w:r>
            <w:proofErr w:type="gramEnd"/>
            <w:r w:rsidRPr="00B60268">
              <w:rPr>
                <w:rFonts w:ascii="宋体" w:hAnsi="宋体" w:hint="eastAsia"/>
                <w:szCs w:val="21"/>
              </w:rPr>
              <w:t>大都市，研究分析上海教育在推动科技创新的主要差距及瓶颈制约；提出</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高校在上海建设具有全球影响力的科技创新中心的作用形式及作用路径。</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4</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上海率先全面实现教育现代化的内涵和指标体系研究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发达国家、国际组织关于教育及相关领域的目标体系及借鉴；</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国家教育及相关领域的目标体系研究；教育现代化的主要内涵和核心指标（基于国际比较）；上海率先实现教育现代化的重点与难点分析；上海率先实现教育现代化的主要任务、时间节点和具体举措</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5</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以</w:t>
            </w:r>
            <w:r w:rsidRPr="00B60268">
              <w:rPr>
                <w:rFonts w:ascii="宋体" w:hAnsi="宋体"/>
                <w:szCs w:val="21"/>
              </w:rPr>
              <w:t>“</w:t>
            </w:r>
            <w:r w:rsidRPr="00B60268">
              <w:rPr>
                <w:rFonts w:ascii="宋体" w:hAnsi="宋体" w:hint="eastAsia"/>
                <w:szCs w:val="21"/>
              </w:rPr>
              <w:t>每一个学生的终身发展</w:t>
            </w:r>
            <w:r w:rsidRPr="00B60268">
              <w:rPr>
                <w:rFonts w:ascii="宋体" w:hAnsi="宋体"/>
                <w:szCs w:val="21"/>
              </w:rPr>
              <w:t>”</w:t>
            </w:r>
            <w:r w:rsidRPr="00B60268">
              <w:rPr>
                <w:rFonts w:ascii="宋体" w:hAnsi="宋体" w:hint="eastAsia"/>
                <w:szCs w:val="21"/>
              </w:rPr>
              <w:t>为核心理念的各级各类教育质量保障体系研究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上海教育质量保障体系建设的战略思考和整体设计；基础教育优质均衡发展的质量保障体系；促进高校内涵式发展的质量保障体系；现代职业教育体系的质量保障体系；终身教育质量保障体系建设</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6</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国际教育发展的新趋势研究和促进上海教育国际化</w:t>
            </w:r>
            <w:r w:rsidRPr="00B60268">
              <w:rPr>
                <w:rFonts w:ascii="宋体" w:hAnsi="宋体" w:hint="eastAsia"/>
                <w:szCs w:val="21"/>
              </w:rPr>
              <w:lastRenderedPageBreak/>
              <w:t>的若干重大问题研究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lastRenderedPageBreak/>
              <w:t>国际经济社会发展的新态势及其对教育发展的影响；主要发达国家在基础教育、高</w:t>
            </w:r>
            <w:r w:rsidRPr="00B60268">
              <w:rPr>
                <w:rFonts w:ascii="宋体" w:hAnsi="宋体" w:hint="eastAsia"/>
                <w:szCs w:val="21"/>
              </w:rPr>
              <w:lastRenderedPageBreak/>
              <w:t>等教育、职业教育、终身教育等领域的新理念、新趋势及借鉴；引进国际优质教育理念和教育资源，深化涉外办学的新体制和新机制；加大发展留学生教育力度的制度设计；大力发展国际教育服务业的前瞻谋划；适应国家和上海经济、文化等全球化战略，实施上海教育走出去战略。</w:t>
            </w:r>
            <w:r w:rsidRPr="00B60268">
              <w:rPr>
                <w:rFonts w:ascii="宋体" w:hAnsi="宋体"/>
                <w:szCs w:val="21"/>
              </w:rPr>
              <w:t xml:space="preserve"> </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lastRenderedPageBreak/>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lastRenderedPageBreak/>
              <w:t>7</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高等教育二维分类评价指标体系研究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在国内外研究的基础上提出二维分类的评价指标与监测体系；研究设计与二维分类相对应的评价标准；提出相对应的评价制度。</w:t>
            </w:r>
          </w:p>
        </w:tc>
        <w:tc>
          <w:tcPr>
            <w:tcW w:w="494" w:type="pct"/>
            <w:vAlign w:val="center"/>
          </w:tcPr>
          <w:p w:rsidR="00EC375F" w:rsidRPr="00B60268" w:rsidRDefault="00EC375F" w:rsidP="0016101E">
            <w:pPr>
              <w:jc w:val="center"/>
              <w:rPr>
                <w:rFonts w:ascii="宋体" w:hAnsi="宋体"/>
                <w:szCs w:val="21"/>
              </w:rPr>
            </w:pPr>
            <w:r w:rsidRPr="00B60268">
              <w:rPr>
                <w:rFonts w:ascii="宋体" w:hAnsi="宋体" w:hint="eastAsia"/>
                <w:szCs w:val="21"/>
              </w:rPr>
              <w:t>重大课题</w:t>
            </w:r>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8</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学校德育与综合素养培养体系建设研究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构建大中小学德育一体化的内容体系和工作体系；健全学生综合素质评价观测体系；构建全方位校外教育体系，实现学生德育的校内外无缝衔接研究。</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9</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外来随迁子女的学校教育问题及对策研究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上海外来随迁子女的人口规模变化及趋势分析；外来随迁子女受教育政策的系统梳理及前瞻性调整和改进</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10</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新形势下上海市普通高校招生的对策研究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上海市普通高校招生政策的调整完善和实施情况的跟踪研究；基于统一高考和高中学业水平考试成绩的综合评价与多元录取机制研究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11</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推进教育治理体系和治理能力现代化研究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转变政府职能，实现管办评分离的制度安排和路径设计；建立健全学校依法治校的法律法规及制度体系；实施</w:t>
            </w:r>
            <w:r w:rsidRPr="00B60268">
              <w:rPr>
                <w:rFonts w:ascii="宋体" w:hAnsi="宋体"/>
                <w:szCs w:val="21"/>
              </w:rPr>
              <w:t>“</w:t>
            </w:r>
            <w:r w:rsidRPr="00B60268">
              <w:rPr>
                <w:rFonts w:ascii="宋体" w:hAnsi="宋体" w:hint="eastAsia"/>
                <w:szCs w:val="21"/>
              </w:rPr>
              <w:t>清单</w:t>
            </w:r>
            <w:r w:rsidRPr="00B60268">
              <w:rPr>
                <w:rFonts w:ascii="宋体" w:hAnsi="宋体"/>
                <w:szCs w:val="21"/>
              </w:rPr>
              <w:t>”</w:t>
            </w:r>
            <w:r w:rsidRPr="00B60268">
              <w:rPr>
                <w:rFonts w:ascii="宋体" w:hAnsi="宋体" w:hint="eastAsia"/>
                <w:szCs w:val="21"/>
              </w:rPr>
              <w:t>管理、完善现代学校制度建设研究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12</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上海高校一流本科专业建设布局和路径研究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上海高校本科专业建设的现状梳理；上海高校本科专业与兄弟省市、国际大都市的比较研究；促进上海高校一流本科专业建设的战略布局和实现路径研究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13</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现代职业教育体系建设的制度安排与相关政策研究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国外主要国家职业教育体系建设的经验借鉴；</w:t>
            </w:r>
            <w:r w:rsidRPr="00B60268">
              <w:rPr>
                <w:rFonts w:ascii="宋体" w:hAnsi="宋体"/>
                <w:szCs w:val="21"/>
              </w:rPr>
              <w:t>“</w:t>
            </w:r>
            <w:r w:rsidRPr="00B60268">
              <w:rPr>
                <w:rFonts w:ascii="宋体" w:hAnsi="宋体" w:hint="eastAsia"/>
                <w:szCs w:val="21"/>
              </w:rPr>
              <w:t>中职</w:t>
            </w:r>
            <w:r w:rsidRPr="00B60268">
              <w:rPr>
                <w:rFonts w:ascii="宋体" w:hAnsi="宋体"/>
                <w:szCs w:val="21"/>
              </w:rPr>
              <w:t>-</w:t>
            </w:r>
            <w:r w:rsidRPr="00B60268">
              <w:rPr>
                <w:rFonts w:ascii="宋体" w:hAnsi="宋体" w:hint="eastAsia"/>
                <w:szCs w:val="21"/>
              </w:rPr>
              <w:t>高职</w:t>
            </w:r>
            <w:r w:rsidRPr="00B60268">
              <w:rPr>
                <w:rFonts w:ascii="宋体" w:hAnsi="宋体"/>
                <w:szCs w:val="21"/>
              </w:rPr>
              <w:t>-</w:t>
            </w:r>
            <w:r w:rsidRPr="00B60268">
              <w:rPr>
                <w:rFonts w:ascii="宋体" w:hAnsi="宋体" w:hint="eastAsia"/>
                <w:szCs w:val="21"/>
              </w:rPr>
              <w:t>应用本科</w:t>
            </w:r>
            <w:r w:rsidRPr="00B60268">
              <w:rPr>
                <w:rFonts w:ascii="宋体" w:hAnsi="宋体"/>
                <w:szCs w:val="21"/>
              </w:rPr>
              <w:t>-</w:t>
            </w:r>
            <w:r w:rsidRPr="00B60268">
              <w:rPr>
                <w:rFonts w:ascii="宋体" w:hAnsi="宋体" w:hint="eastAsia"/>
                <w:szCs w:val="21"/>
              </w:rPr>
              <w:t>专业硕士</w:t>
            </w:r>
            <w:r w:rsidRPr="00B60268">
              <w:rPr>
                <w:rFonts w:ascii="宋体" w:hAnsi="宋体"/>
                <w:szCs w:val="21"/>
              </w:rPr>
              <w:t>”</w:t>
            </w:r>
            <w:r w:rsidRPr="00B60268">
              <w:rPr>
                <w:rFonts w:ascii="宋体" w:hAnsi="宋体" w:hint="eastAsia"/>
                <w:szCs w:val="21"/>
              </w:rPr>
              <w:t>一体化的现代职业教育体系建设的顶层设计；职业教育</w:t>
            </w:r>
            <w:r w:rsidRPr="00B60268">
              <w:rPr>
                <w:rFonts w:ascii="宋体" w:hAnsi="宋体"/>
                <w:szCs w:val="21"/>
              </w:rPr>
              <w:t>“</w:t>
            </w:r>
            <w:r w:rsidRPr="00B60268">
              <w:rPr>
                <w:rFonts w:ascii="宋体" w:hAnsi="宋体" w:hint="eastAsia"/>
                <w:szCs w:val="21"/>
              </w:rPr>
              <w:t>双师型</w:t>
            </w:r>
            <w:r w:rsidRPr="00B60268">
              <w:rPr>
                <w:rFonts w:ascii="宋体" w:hAnsi="宋体"/>
                <w:szCs w:val="21"/>
              </w:rPr>
              <w:t>”</w:t>
            </w:r>
            <w:r w:rsidRPr="00B60268">
              <w:rPr>
                <w:rFonts w:ascii="宋体" w:hAnsi="宋体" w:hint="eastAsia"/>
                <w:szCs w:val="21"/>
              </w:rPr>
              <w:t>教师队伍制度设计和建设研究；完善现代职教体系的政策支持研究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14</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建立终身教育质量标准研究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教育培训机制资质标准；从业人员资格和专业发展标准；学习内容标准；学习成果评价标准等</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15</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上海各级各类高校教师队伍优化配置研究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制定和完善学校教师资源配置（编制）的标准；深化各级各类学校人事制度和收入分配制度改革</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16</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上海地方性的普通高校设置标准研究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教育部现行普通高校设置标准的局限性及主要问题；上海建设现代化国际大都市对</w:t>
            </w:r>
            <w:r w:rsidRPr="00B60268">
              <w:rPr>
                <w:rFonts w:ascii="宋体" w:hAnsi="宋体" w:hint="eastAsia"/>
                <w:szCs w:val="21"/>
              </w:rPr>
              <w:lastRenderedPageBreak/>
              <w:t>高校设置提出的新需求；上海地方性高校设置标准体系建设；实施上海地方性高校设置标准的具体路径和政策支持</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lastRenderedPageBreak/>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lastRenderedPageBreak/>
              <w:t>17</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上海地方性的普通高校基本建设标准研究</w:t>
            </w:r>
          </w:p>
        </w:tc>
        <w:tc>
          <w:tcPr>
            <w:tcW w:w="2482" w:type="pct"/>
            <w:vAlign w:val="center"/>
          </w:tcPr>
          <w:p w:rsidR="00EC375F" w:rsidRPr="00B60268" w:rsidRDefault="00EC375F" w:rsidP="0016101E">
            <w:pPr>
              <w:rPr>
                <w:rFonts w:ascii="宋体" w:hAnsi="宋体"/>
                <w:szCs w:val="21"/>
              </w:rPr>
            </w:pPr>
            <w:r w:rsidRPr="00B60268">
              <w:rPr>
                <w:rFonts w:ascii="宋体" w:hAnsi="宋体" w:hint="eastAsia"/>
                <w:szCs w:val="21"/>
              </w:rPr>
              <w:t>教育部现行普通高校基本建设标准的局限性及主要问题；上海地方性高校基本建设标准体系设计；上海地方性高校基本建设与上海</w:t>
            </w:r>
            <w:r w:rsidRPr="00B60268">
              <w:rPr>
                <w:rFonts w:ascii="宋体" w:hAnsi="宋体"/>
                <w:szCs w:val="21"/>
              </w:rPr>
              <w:t>2040</w:t>
            </w:r>
            <w:r w:rsidRPr="00B60268">
              <w:rPr>
                <w:rFonts w:ascii="宋体" w:hAnsi="宋体" w:hint="eastAsia"/>
                <w:szCs w:val="21"/>
              </w:rPr>
              <w:t>年城市规划的衔接；实施上海地方性高校设置标准的具体路径和政策支持</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18</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鼓励和支持社会力量兴办教育的机制和政策研究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鼓励民间资本兴办学校、捐资助学的政策和制度研究；民办教育资助体系研究；混合所有制学校的制度设计及相关政策；民办教育基金奖励制度和融资服务制度研究；民办教育与公办教育相互购买教育服务和教育产品的制度研究；民间资本进入教育领域的主要障碍、问题及对策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19</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规划实施情况的跟踪与评估机制研究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规划核心目标及重点任务实施情况的监控体系和评价体系建设；根据国家和上海经济社会发展情况和深化教育综合改革的整体要求，建立完善</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规划的动态调整机制；高校和区县</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规划的评估机制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r w:rsidR="00EC375F" w:rsidRPr="00787603" w:rsidTr="0016101E">
        <w:trPr>
          <w:trHeight w:val="221"/>
          <w:jc w:val="center"/>
        </w:trPr>
        <w:tc>
          <w:tcPr>
            <w:tcW w:w="450" w:type="pct"/>
            <w:vAlign w:val="center"/>
          </w:tcPr>
          <w:p w:rsidR="00EC375F" w:rsidRPr="00B60268" w:rsidRDefault="00EC375F" w:rsidP="0016101E">
            <w:pPr>
              <w:jc w:val="center"/>
              <w:rPr>
                <w:rFonts w:ascii="宋体" w:hAnsi="宋体"/>
                <w:szCs w:val="21"/>
              </w:rPr>
            </w:pPr>
            <w:r w:rsidRPr="00B60268">
              <w:rPr>
                <w:rFonts w:ascii="宋体" w:hAnsi="宋体"/>
                <w:szCs w:val="21"/>
              </w:rPr>
              <w:t>20</w:t>
            </w:r>
          </w:p>
        </w:tc>
        <w:tc>
          <w:tcPr>
            <w:tcW w:w="1574" w:type="pct"/>
            <w:vAlign w:val="center"/>
          </w:tcPr>
          <w:p w:rsidR="00EC375F" w:rsidRPr="00B60268" w:rsidRDefault="00EC375F" w:rsidP="0016101E">
            <w:pPr>
              <w:rPr>
                <w:rFonts w:ascii="宋体" w:hAnsi="宋体"/>
                <w:szCs w:val="21"/>
              </w:rPr>
            </w:pPr>
            <w:r w:rsidRPr="00B60268">
              <w:rPr>
                <w:rFonts w:ascii="宋体" w:hAnsi="宋体" w:hint="eastAsia"/>
                <w:szCs w:val="21"/>
              </w:rPr>
              <w:t>深化学校依法治校，提升教育治理能力研究</w:t>
            </w:r>
          </w:p>
        </w:tc>
        <w:tc>
          <w:tcPr>
            <w:tcW w:w="2482" w:type="pct"/>
            <w:vAlign w:val="center"/>
          </w:tcPr>
          <w:p w:rsidR="00EC375F" w:rsidRPr="00B60268" w:rsidRDefault="00EC375F" w:rsidP="0016101E">
            <w:pPr>
              <w:jc w:val="left"/>
              <w:rPr>
                <w:rFonts w:ascii="宋体" w:hAnsi="宋体"/>
                <w:szCs w:val="21"/>
              </w:rPr>
            </w:pPr>
            <w:r w:rsidRPr="00B60268">
              <w:rPr>
                <w:rFonts w:ascii="宋体" w:hAnsi="宋体" w:hint="eastAsia"/>
                <w:szCs w:val="21"/>
              </w:rPr>
              <w:t>转变政府职能，实现管办评分离的制度安排和路径设计；建立健全学校依法治校的法律法规及制度体系；实施</w:t>
            </w:r>
            <w:r w:rsidRPr="00B60268">
              <w:rPr>
                <w:rFonts w:ascii="宋体" w:hAnsi="宋体"/>
                <w:szCs w:val="21"/>
              </w:rPr>
              <w:t>“</w:t>
            </w:r>
            <w:r w:rsidRPr="00B60268">
              <w:rPr>
                <w:rFonts w:ascii="宋体" w:hAnsi="宋体" w:hint="eastAsia"/>
                <w:szCs w:val="21"/>
              </w:rPr>
              <w:t>清单</w:t>
            </w:r>
            <w:r w:rsidRPr="00B60268">
              <w:rPr>
                <w:rFonts w:ascii="宋体" w:hAnsi="宋体"/>
                <w:szCs w:val="21"/>
              </w:rPr>
              <w:t>”</w:t>
            </w:r>
            <w:r w:rsidRPr="00B60268">
              <w:rPr>
                <w:rFonts w:ascii="宋体" w:hAnsi="宋体" w:hint="eastAsia"/>
                <w:szCs w:val="21"/>
              </w:rPr>
              <w:t>管理、完善现代学校制度建设研究</w:t>
            </w:r>
            <w:r>
              <w:rPr>
                <w:rFonts w:ascii="宋体" w:hAnsi="宋体" w:hint="eastAsia"/>
                <w:szCs w:val="21"/>
              </w:rPr>
              <w:t>。</w:t>
            </w:r>
          </w:p>
        </w:tc>
        <w:tc>
          <w:tcPr>
            <w:tcW w:w="494" w:type="pct"/>
            <w:vAlign w:val="center"/>
          </w:tcPr>
          <w:p w:rsidR="00EC375F" w:rsidRPr="00B60268" w:rsidRDefault="00EC375F" w:rsidP="0016101E">
            <w:pPr>
              <w:jc w:val="center"/>
              <w:rPr>
                <w:rFonts w:ascii="宋体" w:hAnsi="宋体"/>
                <w:szCs w:val="21"/>
              </w:rPr>
            </w:pPr>
            <w:proofErr w:type="gramStart"/>
            <w:r w:rsidRPr="00B60268">
              <w:rPr>
                <w:rFonts w:ascii="宋体" w:hAnsi="宋体" w:hint="eastAsia"/>
                <w:szCs w:val="21"/>
              </w:rPr>
              <w:t>一般课题</w:t>
            </w:r>
            <w:proofErr w:type="gramEnd"/>
          </w:p>
        </w:tc>
      </w:tr>
    </w:tbl>
    <w:p w:rsidR="00EC375F" w:rsidRDefault="00EC375F" w:rsidP="00EC375F">
      <w:pPr>
        <w:spacing w:line="560" w:lineRule="exact"/>
        <w:rPr>
          <w:rFonts w:ascii="黑体" w:eastAsia="黑体" w:hint="eastAsia"/>
          <w:sz w:val="32"/>
        </w:rPr>
      </w:pPr>
    </w:p>
    <w:p w:rsidR="00EC375F" w:rsidRDefault="00EC375F" w:rsidP="00EC375F">
      <w:pPr>
        <w:spacing w:line="420" w:lineRule="exact"/>
        <w:ind w:firstLineChars="200" w:firstLine="420"/>
        <w:rPr>
          <w:rFonts w:ascii="宋体" w:hAnsi="宋体" w:hint="eastAsia"/>
          <w:szCs w:val="21"/>
        </w:rPr>
      </w:pPr>
      <w:r w:rsidRPr="00B60268">
        <w:rPr>
          <w:rFonts w:ascii="宋体" w:hAnsi="宋体" w:hint="eastAsia"/>
          <w:szCs w:val="21"/>
        </w:rPr>
        <w:t>具体要求：</w:t>
      </w:r>
    </w:p>
    <w:p w:rsidR="00EC375F" w:rsidRPr="00B60268" w:rsidRDefault="00EC375F" w:rsidP="00EC375F">
      <w:pPr>
        <w:spacing w:line="420" w:lineRule="exact"/>
        <w:ind w:firstLineChars="200" w:firstLine="420"/>
        <w:rPr>
          <w:rFonts w:ascii="宋体" w:hAnsi="宋体"/>
          <w:szCs w:val="21"/>
        </w:rPr>
      </w:pPr>
      <w:r w:rsidRPr="00B60268">
        <w:rPr>
          <w:rFonts w:ascii="宋体" w:hAnsi="宋体"/>
          <w:szCs w:val="21"/>
        </w:rPr>
        <w:t>1</w:t>
      </w:r>
      <w:r>
        <w:rPr>
          <w:rFonts w:ascii="宋体" w:hAnsi="宋体" w:hint="eastAsia"/>
          <w:szCs w:val="21"/>
        </w:rPr>
        <w:t>．</w:t>
      </w:r>
      <w:r w:rsidRPr="00B60268">
        <w:rPr>
          <w:rFonts w:ascii="宋体" w:hAnsi="宋体" w:hint="eastAsia"/>
          <w:szCs w:val="21"/>
        </w:rPr>
        <w:t>课题研究周期为</w:t>
      </w:r>
      <w:r w:rsidRPr="00B60268">
        <w:rPr>
          <w:rFonts w:ascii="宋体" w:hAnsi="宋体"/>
          <w:szCs w:val="21"/>
        </w:rPr>
        <w:t>1</w:t>
      </w:r>
      <w:r w:rsidRPr="00B60268">
        <w:rPr>
          <w:rFonts w:ascii="宋体" w:hAnsi="宋体" w:hint="eastAsia"/>
          <w:szCs w:val="21"/>
        </w:rPr>
        <w:t>年，</w:t>
      </w:r>
      <w:r w:rsidRPr="00B60268">
        <w:rPr>
          <w:rFonts w:ascii="宋体" w:hAnsi="宋体"/>
          <w:szCs w:val="21"/>
        </w:rPr>
        <w:t>2015</w:t>
      </w:r>
      <w:r w:rsidRPr="00B60268">
        <w:rPr>
          <w:rFonts w:ascii="宋体" w:hAnsi="宋体" w:hint="eastAsia"/>
          <w:szCs w:val="21"/>
        </w:rPr>
        <w:t>年</w:t>
      </w:r>
      <w:r w:rsidRPr="00B60268">
        <w:rPr>
          <w:rFonts w:ascii="宋体" w:hAnsi="宋体"/>
          <w:szCs w:val="21"/>
        </w:rPr>
        <w:t>5</w:t>
      </w:r>
      <w:r w:rsidRPr="00B60268">
        <w:rPr>
          <w:rFonts w:ascii="宋体" w:hAnsi="宋体" w:hint="eastAsia"/>
          <w:szCs w:val="21"/>
        </w:rPr>
        <w:t>月底前提交中期研究成果。</w:t>
      </w:r>
    </w:p>
    <w:p w:rsidR="00EC375F" w:rsidRPr="00B60268" w:rsidRDefault="00EC375F" w:rsidP="00EC375F">
      <w:pPr>
        <w:spacing w:line="420" w:lineRule="exact"/>
        <w:ind w:leftChars="200" w:left="735" w:hangingChars="150" w:hanging="315"/>
        <w:rPr>
          <w:rFonts w:ascii="宋体" w:hAnsi="宋体"/>
          <w:szCs w:val="21"/>
        </w:rPr>
      </w:pPr>
      <w:r w:rsidRPr="00B60268">
        <w:rPr>
          <w:rFonts w:ascii="宋体" w:hAnsi="宋体"/>
          <w:szCs w:val="21"/>
        </w:rPr>
        <w:t>2</w:t>
      </w:r>
      <w:r>
        <w:rPr>
          <w:rFonts w:ascii="宋体" w:hAnsi="宋体" w:hint="eastAsia"/>
          <w:szCs w:val="21"/>
        </w:rPr>
        <w:t>．</w:t>
      </w:r>
      <w:r w:rsidRPr="00B60268">
        <w:rPr>
          <w:rFonts w:ascii="宋体" w:hAnsi="宋体" w:hint="eastAsia"/>
          <w:szCs w:val="21"/>
        </w:rPr>
        <w:t>重大课题的成果形式包括：（</w:t>
      </w:r>
      <w:r w:rsidRPr="00B60268">
        <w:rPr>
          <w:rFonts w:ascii="宋体" w:hAnsi="宋体"/>
          <w:szCs w:val="21"/>
        </w:rPr>
        <w:t>1</w:t>
      </w:r>
      <w:r w:rsidRPr="00B60268">
        <w:rPr>
          <w:rFonts w:ascii="宋体" w:hAnsi="宋体" w:hint="eastAsia"/>
          <w:szCs w:val="21"/>
        </w:rPr>
        <w:t>）各子课题研究报告；（</w:t>
      </w:r>
      <w:r w:rsidRPr="00B60268">
        <w:rPr>
          <w:rFonts w:ascii="宋体" w:hAnsi="宋体"/>
          <w:szCs w:val="21"/>
        </w:rPr>
        <w:t>2</w:t>
      </w:r>
      <w:r w:rsidRPr="00B60268">
        <w:rPr>
          <w:rFonts w:ascii="宋体" w:hAnsi="宋体" w:hint="eastAsia"/>
          <w:szCs w:val="21"/>
        </w:rPr>
        <w:t>）建议纳入上海</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教育改革和发展规划的主要内容（</w:t>
      </w:r>
      <w:r w:rsidRPr="00B60268">
        <w:rPr>
          <w:rFonts w:ascii="宋体" w:hAnsi="宋体"/>
          <w:szCs w:val="21"/>
        </w:rPr>
        <w:t>4000</w:t>
      </w:r>
      <w:r w:rsidRPr="00B60268">
        <w:rPr>
          <w:rFonts w:ascii="宋体" w:hAnsi="宋体" w:hint="eastAsia"/>
          <w:szCs w:val="21"/>
        </w:rPr>
        <w:t>字左右）</w:t>
      </w:r>
    </w:p>
    <w:p w:rsidR="00EC375F" w:rsidRDefault="00EC375F" w:rsidP="00EC375F">
      <w:pPr>
        <w:spacing w:line="560" w:lineRule="exact"/>
        <w:ind w:leftChars="200" w:left="735" w:hangingChars="150" w:hanging="315"/>
        <w:rPr>
          <w:rFonts w:ascii="黑体" w:eastAsia="黑体" w:hint="eastAsia"/>
          <w:sz w:val="32"/>
        </w:rPr>
      </w:pPr>
      <w:r w:rsidRPr="00B60268">
        <w:rPr>
          <w:rFonts w:ascii="宋体" w:hAnsi="宋体"/>
          <w:szCs w:val="21"/>
        </w:rPr>
        <w:t>3</w:t>
      </w:r>
      <w:r>
        <w:rPr>
          <w:rFonts w:ascii="宋体" w:hAnsi="宋体" w:hint="eastAsia"/>
          <w:szCs w:val="21"/>
        </w:rPr>
        <w:t>．</w:t>
      </w:r>
      <w:proofErr w:type="gramStart"/>
      <w:r w:rsidRPr="00B60268">
        <w:rPr>
          <w:rFonts w:ascii="宋体" w:hAnsi="宋体" w:hint="eastAsia"/>
          <w:szCs w:val="21"/>
        </w:rPr>
        <w:t>一般课题</w:t>
      </w:r>
      <w:proofErr w:type="gramEnd"/>
      <w:r w:rsidRPr="00B60268">
        <w:rPr>
          <w:rFonts w:ascii="宋体" w:hAnsi="宋体" w:hint="eastAsia"/>
          <w:szCs w:val="21"/>
        </w:rPr>
        <w:t>的成果形式包括：（</w:t>
      </w:r>
      <w:r w:rsidRPr="00B60268">
        <w:rPr>
          <w:rFonts w:ascii="宋体" w:hAnsi="宋体"/>
          <w:szCs w:val="21"/>
        </w:rPr>
        <w:t>1</w:t>
      </w:r>
      <w:r w:rsidRPr="00B60268">
        <w:rPr>
          <w:rFonts w:ascii="宋体" w:hAnsi="宋体" w:hint="eastAsia"/>
          <w:szCs w:val="21"/>
        </w:rPr>
        <w:t>）国际比较或相关理论研究成果；（</w:t>
      </w:r>
      <w:r w:rsidRPr="00B60268">
        <w:rPr>
          <w:rFonts w:ascii="宋体" w:hAnsi="宋体"/>
          <w:szCs w:val="21"/>
        </w:rPr>
        <w:t>2</w:t>
      </w:r>
      <w:r w:rsidRPr="00B60268">
        <w:rPr>
          <w:rFonts w:ascii="宋体" w:hAnsi="宋体" w:hint="eastAsia"/>
          <w:szCs w:val="21"/>
        </w:rPr>
        <w:t>）建议纳入上海</w:t>
      </w:r>
      <w:r w:rsidRPr="00B60268">
        <w:rPr>
          <w:rFonts w:ascii="宋体" w:hAnsi="宋体"/>
          <w:szCs w:val="21"/>
        </w:rPr>
        <w:t>“</w:t>
      </w:r>
      <w:r w:rsidRPr="00B60268">
        <w:rPr>
          <w:rFonts w:ascii="宋体" w:hAnsi="宋体" w:hint="eastAsia"/>
          <w:szCs w:val="21"/>
        </w:rPr>
        <w:t>十三五</w:t>
      </w:r>
      <w:r w:rsidRPr="00B60268">
        <w:rPr>
          <w:rFonts w:ascii="宋体" w:hAnsi="宋体"/>
          <w:szCs w:val="21"/>
        </w:rPr>
        <w:t>”</w:t>
      </w:r>
      <w:r w:rsidRPr="00B60268">
        <w:rPr>
          <w:rFonts w:ascii="宋体" w:hAnsi="宋体" w:hint="eastAsia"/>
          <w:szCs w:val="21"/>
        </w:rPr>
        <w:t>教育改革和发展规划的内容（</w:t>
      </w:r>
      <w:r w:rsidRPr="00B60268">
        <w:rPr>
          <w:rFonts w:ascii="宋体" w:hAnsi="宋体"/>
          <w:szCs w:val="21"/>
        </w:rPr>
        <w:t>2000</w:t>
      </w:r>
      <w:r w:rsidRPr="00B60268">
        <w:rPr>
          <w:rFonts w:ascii="宋体" w:hAnsi="宋体" w:hint="eastAsia"/>
          <w:szCs w:val="21"/>
        </w:rPr>
        <w:t>字左右）</w:t>
      </w:r>
    </w:p>
    <w:p w:rsidR="004F7A52" w:rsidRDefault="004F7A52" w:rsidP="00EC375F"/>
    <w:sectPr w:rsidR="004F7A52" w:rsidSect="004F7A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375F"/>
    <w:rsid w:val="00011950"/>
    <w:rsid w:val="00035B01"/>
    <w:rsid w:val="000B1B3E"/>
    <w:rsid w:val="000E1F11"/>
    <w:rsid w:val="000F007D"/>
    <w:rsid w:val="001212FF"/>
    <w:rsid w:val="0012720A"/>
    <w:rsid w:val="00145CE1"/>
    <w:rsid w:val="00156215"/>
    <w:rsid w:val="00175805"/>
    <w:rsid w:val="0019082C"/>
    <w:rsid w:val="001C1D38"/>
    <w:rsid w:val="001D1254"/>
    <w:rsid w:val="001D267D"/>
    <w:rsid w:val="00203937"/>
    <w:rsid w:val="00211F80"/>
    <w:rsid w:val="00226AE4"/>
    <w:rsid w:val="002429CC"/>
    <w:rsid w:val="0026063B"/>
    <w:rsid w:val="00304429"/>
    <w:rsid w:val="00333FB5"/>
    <w:rsid w:val="0033781C"/>
    <w:rsid w:val="003B7A73"/>
    <w:rsid w:val="003E332E"/>
    <w:rsid w:val="00405B2D"/>
    <w:rsid w:val="00422427"/>
    <w:rsid w:val="004303F7"/>
    <w:rsid w:val="00441DB2"/>
    <w:rsid w:val="00485D70"/>
    <w:rsid w:val="004A5233"/>
    <w:rsid w:val="004F3ACD"/>
    <w:rsid w:val="004F7A52"/>
    <w:rsid w:val="004F7B8A"/>
    <w:rsid w:val="00515176"/>
    <w:rsid w:val="00520350"/>
    <w:rsid w:val="0052744D"/>
    <w:rsid w:val="005806E6"/>
    <w:rsid w:val="0058598D"/>
    <w:rsid w:val="005A20E1"/>
    <w:rsid w:val="005B608F"/>
    <w:rsid w:val="00612CAB"/>
    <w:rsid w:val="006414A7"/>
    <w:rsid w:val="00641C8E"/>
    <w:rsid w:val="00654728"/>
    <w:rsid w:val="0069352C"/>
    <w:rsid w:val="006B0374"/>
    <w:rsid w:val="006B067E"/>
    <w:rsid w:val="006B1DE0"/>
    <w:rsid w:val="006C1037"/>
    <w:rsid w:val="006F53D4"/>
    <w:rsid w:val="007010FE"/>
    <w:rsid w:val="007014D9"/>
    <w:rsid w:val="0071483A"/>
    <w:rsid w:val="00720BFD"/>
    <w:rsid w:val="00752038"/>
    <w:rsid w:val="007579B3"/>
    <w:rsid w:val="00764B0E"/>
    <w:rsid w:val="00790459"/>
    <w:rsid w:val="00810C59"/>
    <w:rsid w:val="00831013"/>
    <w:rsid w:val="0087743C"/>
    <w:rsid w:val="00893077"/>
    <w:rsid w:val="0089746F"/>
    <w:rsid w:val="008B35D6"/>
    <w:rsid w:val="008E3F54"/>
    <w:rsid w:val="00944D17"/>
    <w:rsid w:val="00994987"/>
    <w:rsid w:val="009B000A"/>
    <w:rsid w:val="009E532B"/>
    <w:rsid w:val="00A25B5C"/>
    <w:rsid w:val="00A50017"/>
    <w:rsid w:val="00A53B44"/>
    <w:rsid w:val="00A53F80"/>
    <w:rsid w:val="00A70D51"/>
    <w:rsid w:val="00AC5546"/>
    <w:rsid w:val="00AD426A"/>
    <w:rsid w:val="00B20D3E"/>
    <w:rsid w:val="00B2248D"/>
    <w:rsid w:val="00B26407"/>
    <w:rsid w:val="00B421B1"/>
    <w:rsid w:val="00B543CC"/>
    <w:rsid w:val="00B62C41"/>
    <w:rsid w:val="00B94FFC"/>
    <w:rsid w:val="00BA4542"/>
    <w:rsid w:val="00BB7E05"/>
    <w:rsid w:val="00C27EE4"/>
    <w:rsid w:val="00C647ED"/>
    <w:rsid w:val="00C83051"/>
    <w:rsid w:val="00C8480F"/>
    <w:rsid w:val="00CA2107"/>
    <w:rsid w:val="00CE4E82"/>
    <w:rsid w:val="00D0187B"/>
    <w:rsid w:val="00D14358"/>
    <w:rsid w:val="00D40AF3"/>
    <w:rsid w:val="00E06AB5"/>
    <w:rsid w:val="00E12403"/>
    <w:rsid w:val="00E40F73"/>
    <w:rsid w:val="00E444B1"/>
    <w:rsid w:val="00EA0FB6"/>
    <w:rsid w:val="00EC375F"/>
    <w:rsid w:val="00ED5B22"/>
    <w:rsid w:val="00ED7CE5"/>
    <w:rsid w:val="00EE37D1"/>
    <w:rsid w:val="00EE37EB"/>
    <w:rsid w:val="00F74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7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2176</Characters>
  <Application>Microsoft Office Word</Application>
  <DocSecurity>0</DocSecurity>
  <Lines>18</Lines>
  <Paragraphs>5</Paragraphs>
  <ScaleCrop>false</ScaleCrop>
  <Company>noang1</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noang</dc:creator>
  <cp:keywords/>
  <dc:description/>
  <cp:lastModifiedBy>noang</cp:lastModifiedBy>
  <cp:revision>1</cp:revision>
  <dcterms:created xsi:type="dcterms:W3CDTF">2015-03-19T01:25:00Z</dcterms:created>
  <dcterms:modified xsi:type="dcterms:W3CDTF">2015-03-19T01:26:00Z</dcterms:modified>
</cp:coreProperties>
</file>