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BA5A2">
      <w:pPr>
        <w:rPr>
          <w:rFonts w:hint="eastAsia" w:ascii="仿宋" w:hAnsi="仿宋" w:eastAsia="仿宋" w:cs="方正小标宋简体"/>
          <w:sz w:val="32"/>
          <w:szCs w:val="32"/>
          <w:lang w:eastAsia="zh-CN"/>
        </w:rPr>
      </w:pPr>
      <w:r>
        <w:rPr>
          <w:rFonts w:hint="eastAsia" w:ascii="仿宋" w:hAnsi="仿宋" w:eastAsia="仿宋" w:cs="方正小标宋简体"/>
          <w:sz w:val="32"/>
          <w:szCs w:val="32"/>
        </w:rPr>
        <w:t>附件1</w:t>
      </w:r>
    </w:p>
    <w:p w14:paraId="2227CEA0">
      <w:pPr>
        <w:snapToGrid w:val="0"/>
        <w:jc w:val="center"/>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上海农林职业技术学院（上海市农业学校）</w:t>
      </w:r>
    </w:p>
    <w:p w14:paraId="43C4F16D">
      <w:pPr>
        <w:snapToGrid w:val="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科研先进个人评选办法（试行）</w:t>
      </w:r>
    </w:p>
    <w:bookmarkEnd w:id="0"/>
    <w:p w14:paraId="539A77F6">
      <w:pPr>
        <w:widowControl/>
        <w:tabs>
          <w:tab w:val="left" w:pos="1985"/>
        </w:tabs>
        <w:adjustRightInd w:val="0"/>
        <w:snapToGrid w:val="0"/>
        <w:spacing w:line="360" w:lineRule="auto"/>
        <w:ind w:firstLine="709"/>
        <w:rPr>
          <w:rFonts w:ascii="宋体" w:hAnsi="宋体" w:cs="宋体"/>
          <w:color w:val="000000"/>
          <w:kern w:val="0"/>
          <w:sz w:val="32"/>
          <w:szCs w:val="32"/>
          <w:shd w:val="clear" w:color="auto" w:fill="FFFFFF"/>
          <w:lang w:bidi="ar"/>
        </w:rPr>
      </w:pPr>
      <w:r>
        <w:rPr>
          <w:rFonts w:hint="eastAsia" w:ascii="仿宋_GB2312" w:hAnsi="Times New Roman" w:eastAsia="仿宋_GB2312" w:cs="Times New Roman"/>
          <w:bCs/>
          <w:color w:val="000000"/>
          <w:sz w:val="32"/>
          <w:szCs w:val="32"/>
        </w:rPr>
        <w:t>为进一步调动我校各单位和广大教职工投入科研工作的积极性，推动我校科技进步和科研工作快速发展，推进我校内涵建设的深入发展，根据有关规定，结合我校实际情况，特制定本办法。</w:t>
      </w:r>
    </w:p>
    <w:p w14:paraId="238DB9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Calibri" w:eastAsia="黑体" w:cs="Times New Roman"/>
          <w:bCs/>
          <w:sz w:val="32"/>
          <w:lang w:val="en-US" w:eastAsia="zh-CN"/>
        </w:rPr>
      </w:pPr>
      <w:r>
        <w:rPr>
          <w:rFonts w:hint="eastAsia" w:ascii="黑体" w:hAnsi="Calibri" w:eastAsia="黑体" w:cs="Times New Roman"/>
          <w:bCs/>
          <w:sz w:val="32"/>
          <w:lang w:val="en-US" w:eastAsia="zh-CN"/>
        </w:rPr>
        <w:t>一、入围条件</w:t>
      </w:r>
    </w:p>
    <w:p w14:paraId="748E13E8">
      <w:pPr>
        <w:widowControl/>
        <w:tabs>
          <w:tab w:val="left" w:pos="1985"/>
        </w:tabs>
        <w:adjustRightInd w:val="0"/>
        <w:snapToGrid w:val="0"/>
        <w:spacing w:line="360" w:lineRule="auto"/>
        <w:ind w:firstLine="480" w:firstLineChars="150"/>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（一）</w:t>
      </w:r>
      <w:r>
        <w:rPr>
          <w:rFonts w:hint="eastAsia" w:ascii="仿宋_GB2312" w:hAnsi="Times New Roman" w:eastAsia="仿宋_GB2312" w:cs="Times New Roman"/>
          <w:bCs/>
          <w:color w:val="000000"/>
          <w:sz w:val="32"/>
          <w:szCs w:val="32"/>
        </w:rPr>
        <w:t>评选范围为我校全体在职在岗教职工，工作年限已满两年（不含评选当年）。</w:t>
      </w:r>
    </w:p>
    <w:p w14:paraId="1BBEBA90">
      <w:pPr>
        <w:widowControl/>
        <w:tabs>
          <w:tab w:val="left" w:pos="1985"/>
        </w:tabs>
        <w:adjustRightInd w:val="0"/>
        <w:snapToGrid w:val="0"/>
        <w:spacing w:line="360" w:lineRule="auto"/>
        <w:ind w:firstLine="480" w:firstLineChars="150"/>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（二）</w:t>
      </w:r>
      <w:r>
        <w:rPr>
          <w:rFonts w:hint="eastAsia" w:ascii="仿宋_GB2312" w:hAnsi="Times New Roman" w:eastAsia="仿宋_GB2312" w:cs="Times New Roman"/>
          <w:bCs/>
          <w:color w:val="000000"/>
          <w:sz w:val="32"/>
          <w:szCs w:val="32"/>
        </w:rPr>
        <w:t>参评对象须拥护党的教育方针政策，遵守学校各项规章制度，学术道德高尚，治学严谨，研究水平较高，研究成果丰硕且无产权争议。</w:t>
      </w:r>
    </w:p>
    <w:p w14:paraId="150E4914">
      <w:pPr>
        <w:widowControl/>
        <w:tabs>
          <w:tab w:val="left" w:pos="1985"/>
        </w:tabs>
        <w:adjustRightInd w:val="0"/>
        <w:snapToGrid w:val="0"/>
        <w:spacing w:line="360" w:lineRule="auto"/>
        <w:ind w:firstLine="480" w:firstLineChars="150"/>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（三）</w:t>
      </w:r>
      <w:r>
        <w:rPr>
          <w:rFonts w:hint="eastAsia" w:ascii="仿宋_GB2312" w:hAnsi="Times New Roman" w:eastAsia="仿宋_GB2312" w:cs="Times New Roman"/>
          <w:bCs/>
          <w:color w:val="000000"/>
          <w:sz w:val="32"/>
          <w:szCs w:val="32"/>
        </w:rPr>
        <w:t>在科研创新团队建设工作中贡献突出，取得显著成效者可优先入围。</w:t>
      </w:r>
    </w:p>
    <w:p w14:paraId="1E5C477B">
      <w:pPr>
        <w:widowControl/>
        <w:tabs>
          <w:tab w:val="left" w:pos="1985"/>
        </w:tabs>
        <w:adjustRightInd w:val="0"/>
        <w:snapToGrid w:val="0"/>
        <w:spacing w:line="360" w:lineRule="auto"/>
        <w:ind w:firstLine="480" w:firstLineChars="150"/>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（四）</w:t>
      </w:r>
      <w:r>
        <w:rPr>
          <w:rFonts w:hint="eastAsia" w:ascii="仿宋_GB2312" w:hAnsi="Times New Roman" w:eastAsia="仿宋_GB2312" w:cs="Times New Roman"/>
          <w:bCs/>
          <w:color w:val="000000"/>
          <w:sz w:val="32"/>
          <w:szCs w:val="32"/>
        </w:rPr>
        <w:t>参评对象在论著、科研项目、发明专利、技术服务、科研获奖等方面业绩突出，近两年取得的工作业绩应达到以下条件中的任意两个，并在其中作出了实质性贡献：</w:t>
      </w:r>
    </w:p>
    <w:p w14:paraId="01191214">
      <w:pPr>
        <w:widowControl/>
        <w:shd w:val="clear" w:color="auto" w:fill="FFFFFF"/>
        <w:spacing w:line="15" w:lineRule="atLeast"/>
        <w:ind w:firstLine="640" w:firstLineChars="200"/>
        <w:jc w:val="left"/>
        <w:rPr>
          <w:rFonts w:ascii="仿宋_GB2312" w:hAnsi="Times New Roman" w:eastAsia="仿宋_GB2312" w:cs="Times New Roman"/>
          <w:bCs/>
          <w:color w:val="000000"/>
          <w:sz w:val="32"/>
          <w:szCs w:val="32"/>
        </w:rPr>
      </w:pPr>
      <w:r>
        <w:rPr>
          <w:rFonts w:ascii="仿宋" w:hAnsi="仿宋" w:eastAsia="仿宋" w:cs="宋体"/>
          <w:color w:val="000000"/>
          <w:kern w:val="0"/>
          <w:sz w:val="32"/>
          <w:szCs w:val="32"/>
          <w:shd w:val="clear" w:color="auto" w:fill="FFFFFF"/>
          <w:lang w:bidi="ar"/>
        </w:rPr>
        <w:t>1.</w:t>
      </w:r>
      <w:r>
        <w:rPr>
          <w:rFonts w:hint="eastAsia" w:ascii="仿宋_GB2312" w:hAnsi="Times New Roman" w:eastAsia="仿宋_GB2312" w:cs="Times New Roman"/>
          <w:bCs/>
          <w:color w:val="000000"/>
          <w:sz w:val="32"/>
          <w:szCs w:val="32"/>
        </w:rPr>
        <w:t>论文：以申请人为第一作者并以学校为署名单位在国内外重要学术期刊上公开发表学术论文（不包括会议论文）不少于</w:t>
      </w:r>
      <w:r>
        <w:rPr>
          <w:rFonts w:ascii="Times New Roman" w:hAnsi="Times New Roman" w:eastAsia="仿宋_GB2312" w:cs="Times New Roman"/>
          <w:bCs/>
          <w:color w:val="000000"/>
          <w:sz w:val="32"/>
          <w:szCs w:val="32"/>
        </w:rPr>
        <w:t>1</w:t>
      </w:r>
      <w:r>
        <w:rPr>
          <w:rFonts w:hint="eastAsia" w:ascii="仿宋_GB2312" w:hAnsi="Times New Roman" w:eastAsia="仿宋_GB2312" w:cs="Times New Roman"/>
          <w:bCs/>
          <w:color w:val="000000"/>
          <w:sz w:val="32"/>
          <w:szCs w:val="32"/>
        </w:rPr>
        <w:t>篇。</w:t>
      </w:r>
    </w:p>
    <w:p w14:paraId="1B117530">
      <w:pPr>
        <w:widowControl/>
        <w:shd w:val="clear" w:color="auto" w:fill="FFFFFF"/>
        <w:spacing w:line="15" w:lineRule="atLeast"/>
        <w:ind w:firstLine="640" w:firstLineChars="200"/>
        <w:jc w:val="left"/>
        <w:rPr>
          <w:rFonts w:ascii="仿宋_GB2312" w:hAnsi="Times New Roman" w:eastAsia="仿宋_GB2312" w:cs="Times New Roman"/>
          <w:bCs/>
          <w:color w:val="000000"/>
          <w:sz w:val="32"/>
          <w:szCs w:val="32"/>
        </w:rPr>
      </w:pPr>
      <w:r>
        <w:rPr>
          <w:rFonts w:ascii="仿宋" w:hAnsi="仿宋" w:eastAsia="仿宋" w:cs="宋体"/>
          <w:color w:val="000000"/>
          <w:kern w:val="0"/>
          <w:sz w:val="32"/>
          <w:szCs w:val="32"/>
          <w:shd w:val="clear" w:color="auto" w:fill="FFFFFF"/>
          <w:lang w:bidi="ar"/>
        </w:rPr>
        <w:t>2.</w:t>
      </w:r>
      <w:r>
        <w:rPr>
          <w:rFonts w:hint="eastAsia" w:ascii="仿宋_GB2312" w:hAnsi="Times New Roman" w:eastAsia="仿宋_GB2312" w:cs="Times New Roman"/>
          <w:bCs/>
          <w:color w:val="000000"/>
          <w:sz w:val="32"/>
          <w:szCs w:val="32"/>
        </w:rPr>
        <w:t>著作：以第一作者并以学校为署名单位在国家一级出版社公开出版学术专著或学术译著（不包括教材和编著）</w:t>
      </w:r>
      <w:r>
        <w:rPr>
          <w:rFonts w:ascii="Times New Roman" w:hAnsi="Times New Roman" w:eastAsia="仿宋_GB2312" w:cs="Times New Roman"/>
          <w:bCs/>
          <w:color w:val="000000"/>
          <w:sz w:val="32"/>
          <w:szCs w:val="32"/>
        </w:rPr>
        <w:t>1</w:t>
      </w:r>
      <w:r>
        <w:rPr>
          <w:rFonts w:hint="eastAsia" w:ascii="仿宋_GB2312" w:hAnsi="Times New Roman" w:eastAsia="仿宋_GB2312" w:cs="Times New Roman"/>
          <w:bCs/>
          <w:color w:val="000000"/>
          <w:sz w:val="32"/>
          <w:szCs w:val="32"/>
        </w:rPr>
        <w:t>部及以上。</w:t>
      </w:r>
    </w:p>
    <w:p w14:paraId="24BD8FA3">
      <w:pPr>
        <w:widowControl/>
        <w:shd w:val="clear" w:color="auto" w:fill="FFFFFF"/>
        <w:spacing w:line="15" w:lineRule="atLeast"/>
        <w:ind w:firstLine="640" w:firstLineChars="200"/>
        <w:jc w:val="left"/>
        <w:rPr>
          <w:rFonts w:ascii="仿宋_GB2312" w:hAnsi="Times New Roman" w:eastAsia="仿宋_GB2312" w:cs="Times New Roman"/>
          <w:bCs/>
          <w:color w:val="000000"/>
          <w:sz w:val="32"/>
          <w:szCs w:val="32"/>
        </w:rPr>
      </w:pPr>
      <w:r>
        <w:rPr>
          <w:rFonts w:ascii="仿宋" w:hAnsi="仿宋" w:eastAsia="仿宋" w:cs="宋体"/>
          <w:color w:val="000000"/>
          <w:kern w:val="0"/>
          <w:sz w:val="32"/>
          <w:szCs w:val="32"/>
          <w:shd w:val="clear" w:color="auto" w:fill="FFFFFF"/>
          <w:lang w:bidi="ar"/>
        </w:rPr>
        <w:t>3.</w:t>
      </w:r>
      <w:r>
        <w:rPr>
          <w:rFonts w:hint="eastAsia" w:ascii="仿宋_GB2312" w:hAnsi="Times New Roman" w:eastAsia="仿宋_GB2312" w:cs="Times New Roman"/>
          <w:bCs/>
          <w:color w:val="000000"/>
          <w:sz w:val="32"/>
          <w:szCs w:val="32"/>
        </w:rPr>
        <w:t>科研项目：以第一主持人并以学校为第一承担单位至少主持完成省部级及以上科研项目</w:t>
      </w:r>
      <w:r>
        <w:rPr>
          <w:rFonts w:ascii="Times New Roman" w:hAnsi="Times New Roman" w:eastAsia="仿宋_GB2312" w:cs="Times New Roman"/>
          <w:bCs/>
          <w:color w:val="000000"/>
          <w:sz w:val="32"/>
          <w:szCs w:val="32"/>
        </w:rPr>
        <w:t>1</w:t>
      </w:r>
      <w:r>
        <w:rPr>
          <w:rFonts w:hint="eastAsia" w:ascii="仿宋_GB2312" w:hAnsi="Times New Roman" w:eastAsia="仿宋_GB2312" w:cs="Times New Roman"/>
          <w:bCs/>
          <w:color w:val="000000"/>
          <w:sz w:val="32"/>
          <w:szCs w:val="32"/>
        </w:rPr>
        <w:t>项。</w:t>
      </w:r>
    </w:p>
    <w:p w14:paraId="5623D04C">
      <w:pPr>
        <w:widowControl/>
        <w:shd w:val="clear" w:color="auto" w:fill="FFFFFF"/>
        <w:spacing w:line="15" w:lineRule="atLeast"/>
        <w:ind w:firstLine="640" w:firstLineChars="200"/>
        <w:jc w:val="left"/>
        <w:rPr>
          <w:rFonts w:ascii="宋体" w:hAnsi="宋体" w:cs="宋体"/>
          <w:color w:val="000000"/>
          <w:kern w:val="0"/>
          <w:sz w:val="32"/>
          <w:szCs w:val="32"/>
          <w:shd w:val="clear" w:color="auto" w:fill="FFFFFF"/>
          <w:lang w:bidi="ar"/>
        </w:rPr>
      </w:pPr>
      <w:r>
        <w:rPr>
          <w:rFonts w:hint="eastAsia" w:ascii="仿宋" w:hAnsi="仿宋" w:eastAsia="仿宋" w:cs="宋体"/>
          <w:color w:val="000000"/>
          <w:kern w:val="0"/>
          <w:sz w:val="32"/>
          <w:szCs w:val="32"/>
          <w:shd w:val="clear" w:color="auto" w:fill="FFFFFF"/>
          <w:lang w:bidi="ar"/>
        </w:rPr>
        <w:t>4.</w:t>
      </w:r>
      <w:r>
        <w:rPr>
          <w:rFonts w:hint="eastAsia" w:ascii="仿宋_GB2312" w:hAnsi="Times New Roman" w:eastAsia="仿宋_GB2312" w:cs="Times New Roman"/>
          <w:bCs/>
          <w:color w:val="000000"/>
          <w:sz w:val="32"/>
          <w:szCs w:val="32"/>
        </w:rPr>
        <w:t>发明专利：获得发明专利授权</w:t>
      </w:r>
      <w:r>
        <w:rPr>
          <w:rFonts w:ascii="Times New Roman" w:hAnsi="Times New Roman" w:eastAsia="仿宋_GB2312" w:cs="Times New Roman"/>
          <w:bCs/>
          <w:color w:val="000000"/>
          <w:sz w:val="32"/>
          <w:szCs w:val="32"/>
        </w:rPr>
        <w:t>1</w:t>
      </w:r>
      <w:r>
        <w:rPr>
          <w:rFonts w:hint="eastAsia" w:ascii="仿宋_GB2312" w:hAnsi="Times New Roman" w:eastAsia="仿宋_GB2312" w:cs="Times New Roman"/>
          <w:bCs/>
          <w:color w:val="000000"/>
          <w:sz w:val="32"/>
          <w:szCs w:val="32"/>
        </w:rPr>
        <w:t>项及以上。</w:t>
      </w:r>
    </w:p>
    <w:p w14:paraId="19A23DAC">
      <w:pPr>
        <w:widowControl/>
        <w:shd w:val="clear" w:color="auto" w:fill="FFFFFF"/>
        <w:spacing w:line="15" w:lineRule="atLeast"/>
        <w:ind w:firstLine="640" w:firstLineChars="200"/>
        <w:jc w:val="left"/>
        <w:rPr>
          <w:rFonts w:ascii="仿宋_GB2312" w:hAnsi="Times New Roman" w:eastAsia="仿宋_GB2312" w:cs="Times New Roman"/>
          <w:bCs/>
          <w:color w:val="000000"/>
          <w:sz w:val="32"/>
          <w:szCs w:val="32"/>
        </w:rPr>
      </w:pPr>
      <w:r>
        <w:rPr>
          <w:rFonts w:ascii="仿宋" w:hAnsi="仿宋" w:eastAsia="仿宋" w:cs="宋体"/>
          <w:color w:val="000000"/>
          <w:kern w:val="0"/>
          <w:sz w:val="32"/>
          <w:szCs w:val="32"/>
          <w:shd w:val="clear" w:color="auto" w:fill="FFFFFF"/>
          <w:lang w:bidi="ar"/>
        </w:rPr>
        <w:t>5.</w:t>
      </w:r>
      <w:r>
        <w:rPr>
          <w:rFonts w:hint="eastAsia" w:ascii="仿宋_GB2312" w:hAnsi="Times New Roman" w:eastAsia="仿宋_GB2312" w:cs="Times New Roman"/>
          <w:bCs/>
          <w:color w:val="000000"/>
          <w:sz w:val="32"/>
          <w:szCs w:val="32"/>
        </w:rPr>
        <w:t>技术服务：主持技术开发、技术转让、技术许可类的横向科研项目累计到账经费</w:t>
      </w:r>
      <w:r>
        <w:rPr>
          <w:rFonts w:ascii="Times New Roman" w:hAnsi="Times New Roman" w:eastAsia="仿宋_GB2312" w:cs="Times New Roman"/>
          <w:bCs/>
          <w:color w:val="000000"/>
          <w:sz w:val="32"/>
          <w:szCs w:val="32"/>
        </w:rPr>
        <w:t>10</w:t>
      </w:r>
      <w:r>
        <w:rPr>
          <w:rFonts w:hint="eastAsia" w:ascii="仿宋_GB2312" w:hAnsi="Times New Roman" w:eastAsia="仿宋_GB2312" w:cs="Times New Roman"/>
          <w:bCs/>
          <w:color w:val="000000"/>
          <w:sz w:val="32"/>
          <w:szCs w:val="32"/>
        </w:rPr>
        <w:t>万元及以上。</w:t>
      </w:r>
    </w:p>
    <w:p w14:paraId="558FE0A7">
      <w:pPr>
        <w:widowControl/>
        <w:shd w:val="clear" w:color="auto" w:fill="FFFFFF"/>
        <w:spacing w:line="15" w:lineRule="atLeast"/>
        <w:ind w:firstLine="640" w:firstLineChars="200"/>
        <w:jc w:val="left"/>
        <w:rPr>
          <w:rFonts w:ascii="宋体" w:hAnsi="宋体" w:cs="宋体"/>
          <w:color w:val="000000"/>
          <w:szCs w:val="21"/>
        </w:rPr>
      </w:pPr>
      <w:r>
        <w:rPr>
          <w:rFonts w:ascii="仿宋" w:hAnsi="仿宋" w:eastAsia="仿宋" w:cs="宋体"/>
          <w:color w:val="000000"/>
          <w:kern w:val="0"/>
          <w:sz w:val="32"/>
          <w:szCs w:val="32"/>
          <w:shd w:val="clear" w:color="auto" w:fill="FFFFFF"/>
          <w:lang w:bidi="ar"/>
        </w:rPr>
        <w:t>6.</w:t>
      </w:r>
      <w:r>
        <w:rPr>
          <w:rFonts w:hint="eastAsia" w:ascii="仿宋_GB2312" w:hAnsi="Times New Roman" w:eastAsia="仿宋_GB2312" w:cs="Times New Roman"/>
          <w:bCs/>
          <w:color w:val="000000"/>
          <w:sz w:val="32"/>
          <w:szCs w:val="32"/>
        </w:rPr>
        <w:t>科研获奖：获得省部级及以上社科或科技成果奖，一等奖排名前</w:t>
      </w:r>
      <w:r>
        <w:rPr>
          <w:rFonts w:ascii="Times New Roman" w:hAnsi="Times New Roman" w:eastAsia="仿宋_GB2312" w:cs="Times New Roman"/>
          <w:bCs/>
          <w:color w:val="000000"/>
          <w:sz w:val="32"/>
          <w:szCs w:val="32"/>
        </w:rPr>
        <w:t>10</w:t>
      </w:r>
      <w:r>
        <w:rPr>
          <w:rFonts w:hint="eastAsia" w:ascii="仿宋_GB2312" w:hAnsi="Times New Roman" w:eastAsia="仿宋_GB2312" w:cs="Times New Roman"/>
          <w:bCs/>
          <w:color w:val="000000"/>
          <w:sz w:val="32"/>
          <w:szCs w:val="32"/>
        </w:rPr>
        <w:t>，二等奖排名前</w:t>
      </w:r>
      <w:r>
        <w:rPr>
          <w:rFonts w:ascii="Times New Roman" w:hAnsi="Times New Roman" w:eastAsia="仿宋_GB2312" w:cs="Times New Roman"/>
          <w:bCs/>
          <w:color w:val="000000"/>
          <w:sz w:val="32"/>
          <w:szCs w:val="32"/>
        </w:rPr>
        <w:t>5</w:t>
      </w:r>
      <w:r>
        <w:rPr>
          <w:rFonts w:hint="eastAsia" w:ascii="仿宋_GB2312" w:hAnsi="Times New Roman" w:eastAsia="仿宋_GB2312" w:cs="Times New Roman"/>
          <w:bCs/>
          <w:color w:val="000000"/>
          <w:sz w:val="32"/>
          <w:szCs w:val="32"/>
        </w:rPr>
        <w:t>，三等奖排名前</w:t>
      </w:r>
      <w:r>
        <w:rPr>
          <w:rFonts w:ascii="Times New Roman" w:hAnsi="Times New Roman" w:eastAsia="仿宋_GB2312" w:cs="Times New Roman"/>
          <w:bCs/>
          <w:color w:val="000000"/>
          <w:sz w:val="32"/>
          <w:szCs w:val="32"/>
        </w:rPr>
        <w:t>3</w:t>
      </w:r>
      <w:r>
        <w:rPr>
          <w:rFonts w:hint="eastAsia" w:ascii="仿宋_GB2312" w:hAnsi="Times New Roman" w:eastAsia="仿宋_GB2312" w:cs="Times New Roman"/>
          <w:bCs/>
          <w:color w:val="000000"/>
          <w:sz w:val="32"/>
          <w:szCs w:val="32"/>
        </w:rPr>
        <w:t>。</w:t>
      </w:r>
    </w:p>
    <w:p w14:paraId="614ECC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Calibri" w:eastAsia="黑体" w:cs="Times New Roman"/>
          <w:bCs/>
          <w:sz w:val="32"/>
          <w:lang w:val="en-US" w:eastAsia="zh-CN"/>
        </w:rPr>
      </w:pPr>
      <w:r>
        <w:rPr>
          <w:rFonts w:hint="eastAsia" w:ascii="黑体" w:hAnsi="Calibri" w:eastAsia="黑体" w:cs="Times New Roman"/>
          <w:bCs/>
          <w:sz w:val="32"/>
          <w:lang w:val="en-US" w:eastAsia="zh-CN"/>
        </w:rPr>
        <w:t>二、评选说明</w:t>
      </w:r>
    </w:p>
    <w:p w14:paraId="38696000">
      <w:pPr>
        <w:widowControl/>
        <w:shd w:val="clear" w:color="auto" w:fill="FFFFFF"/>
        <w:spacing w:line="15" w:lineRule="atLeast"/>
        <w:ind w:firstLine="640" w:firstLineChars="200"/>
        <w:jc w:val="left"/>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评选过程评选工作本着“实事求是、公开公平”的原则，在严格考核个人科研成果的基础上，结合其所在团队或所在部门的科研实绩进行。</w:t>
      </w:r>
    </w:p>
    <w:p w14:paraId="3F3B5286">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（一）</w:t>
      </w:r>
      <w:r>
        <w:rPr>
          <w:rFonts w:hint="eastAsia" w:ascii="仿宋_GB2312" w:hAnsi="Times New Roman" w:eastAsia="仿宋_GB2312" w:cs="Times New Roman"/>
          <w:bCs/>
          <w:color w:val="000000"/>
          <w:sz w:val="32"/>
          <w:szCs w:val="32"/>
        </w:rPr>
        <w:t>各部门应在广泛宣传和动员的前提下，择优推荐。</w:t>
      </w:r>
    </w:p>
    <w:p w14:paraId="2E515C37">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（二）</w:t>
      </w:r>
      <w:r>
        <w:rPr>
          <w:rFonts w:hint="eastAsia" w:ascii="仿宋_GB2312" w:hAnsi="Times New Roman" w:eastAsia="仿宋_GB2312" w:cs="Times New Roman"/>
          <w:bCs/>
          <w:color w:val="000000"/>
          <w:sz w:val="32"/>
          <w:szCs w:val="32"/>
        </w:rPr>
        <w:t>所在部门依据本办法规定的入围条件对申请材料初审之后，将推荐名单及相应证明材料汇总后送交科研处。</w:t>
      </w:r>
    </w:p>
    <w:p w14:paraId="470F8516">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（三）</w:t>
      </w:r>
      <w:r>
        <w:rPr>
          <w:rFonts w:hint="eastAsia" w:ascii="仿宋_GB2312" w:hAnsi="Times New Roman" w:eastAsia="仿宋_GB2312" w:cs="Times New Roman"/>
          <w:bCs/>
          <w:color w:val="000000"/>
          <w:sz w:val="32"/>
          <w:szCs w:val="32"/>
        </w:rPr>
        <w:t>科研先进个人由科研处对申报材料进行复审后，提请学术委员会审核。</w:t>
      </w:r>
    </w:p>
    <w:p w14:paraId="26857104">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（四）</w:t>
      </w:r>
      <w:r>
        <w:rPr>
          <w:rFonts w:hint="eastAsia" w:ascii="仿宋_GB2312" w:hAnsi="Times New Roman" w:eastAsia="仿宋_GB2312" w:cs="Times New Roman"/>
          <w:bCs/>
          <w:color w:val="000000"/>
          <w:sz w:val="32"/>
          <w:szCs w:val="32"/>
        </w:rPr>
        <w:t>科研处将最终的科研先进个人推荐人选提请校长办公会审议，形成最终评选结果。</w:t>
      </w:r>
    </w:p>
    <w:p w14:paraId="1DDD14E1">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（五）</w:t>
      </w:r>
      <w:r>
        <w:rPr>
          <w:rFonts w:hint="eastAsia" w:ascii="仿宋_GB2312" w:hAnsi="Times New Roman" w:eastAsia="仿宋_GB2312" w:cs="Times New Roman"/>
          <w:bCs/>
          <w:color w:val="000000"/>
          <w:sz w:val="32"/>
          <w:szCs w:val="32"/>
        </w:rPr>
        <w:t>在全校范围内对评选结果进行公示。公示无异议后，正式公布评选结果。</w:t>
      </w:r>
    </w:p>
    <w:p w14:paraId="6E87B97D">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（六）</w:t>
      </w:r>
      <w:r>
        <w:rPr>
          <w:rFonts w:hint="eastAsia" w:ascii="仿宋_GB2312" w:hAnsi="Times New Roman" w:eastAsia="仿宋_GB2312" w:cs="Times New Roman"/>
          <w:bCs/>
          <w:color w:val="000000"/>
          <w:sz w:val="32"/>
          <w:szCs w:val="32"/>
        </w:rPr>
        <w:t>奖项每两年评选一次，每次不超过</w:t>
      </w:r>
      <w:r>
        <w:rPr>
          <w:rFonts w:ascii="Times New Roman" w:hAnsi="Times New Roman" w:eastAsia="仿宋_GB2312" w:cs="Times New Roman"/>
          <w:bCs/>
          <w:color w:val="000000"/>
          <w:sz w:val="32"/>
          <w:szCs w:val="32"/>
        </w:rPr>
        <w:t>10</w:t>
      </w:r>
      <w:r>
        <w:rPr>
          <w:rFonts w:hint="eastAsia" w:ascii="仿宋_GB2312" w:hAnsi="Times New Roman" w:eastAsia="仿宋_GB2312" w:cs="Times New Roman"/>
          <w:bCs/>
          <w:color w:val="000000"/>
          <w:sz w:val="32"/>
          <w:szCs w:val="32"/>
        </w:rPr>
        <w:t>人，科研业绩统计时间为前两个年度，且同一科研成果或奖项不得重复填报。</w:t>
      </w:r>
    </w:p>
    <w:p w14:paraId="4646A3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Calibri" w:eastAsia="黑体" w:cs="Times New Roman"/>
          <w:bCs/>
          <w:sz w:val="32"/>
          <w:lang w:val="en-US" w:eastAsia="zh-CN"/>
        </w:rPr>
      </w:pPr>
      <w:r>
        <w:rPr>
          <w:rFonts w:hint="eastAsia" w:ascii="黑体" w:hAnsi="Calibri" w:eastAsia="黑体" w:cs="Times New Roman"/>
          <w:bCs/>
          <w:sz w:val="32"/>
          <w:lang w:val="en-US" w:eastAsia="zh-CN"/>
        </w:rPr>
        <w:t>三、奖励标准</w:t>
      </w:r>
    </w:p>
    <w:p w14:paraId="3B3708F8">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（一）</w:t>
      </w:r>
      <w:r>
        <w:rPr>
          <w:rFonts w:hint="eastAsia" w:ascii="仿宋_GB2312" w:hAnsi="Times New Roman" w:eastAsia="仿宋_GB2312" w:cs="Times New Roman"/>
          <w:bCs/>
          <w:color w:val="000000"/>
          <w:sz w:val="32"/>
          <w:szCs w:val="32"/>
        </w:rPr>
        <w:t>向获奖者颁发相应奖项的荣誉证书。</w:t>
      </w:r>
    </w:p>
    <w:p w14:paraId="71C71383">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（二）</w:t>
      </w:r>
      <w:r>
        <w:rPr>
          <w:rFonts w:hint="eastAsia" w:ascii="仿宋_GB2312" w:hAnsi="Times New Roman" w:eastAsia="仿宋_GB2312" w:cs="Times New Roman"/>
          <w:bCs/>
          <w:color w:val="000000"/>
          <w:sz w:val="32"/>
          <w:szCs w:val="32"/>
        </w:rPr>
        <w:t>对科研先进个人按</w:t>
      </w:r>
      <w:r>
        <w:rPr>
          <w:rFonts w:ascii="Times New Roman" w:hAnsi="Times New Roman" w:eastAsia="仿宋_GB2312" w:cs="Times New Roman"/>
          <w:bCs/>
          <w:color w:val="000000"/>
          <w:sz w:val="32"/>
          <w:szCs w:val="32"/>
        </w:rPr>
        <w:t>2000</w:t>
      </w:r>
      <w:r>
        <w:rPr>
          <w:rFonts w:hint="eastAsia" w:ascii="仿宋_GB2312" w:hAnsi="Times New Roman" w:eastAsia="仿宋_GB2312" w:cs="Times New Roman"/>
          <w:bCs/>
          <w:color w:val="000000"/>
          <w:sz w:val="32"/>
          <w:szCs w:val="32"/>
        </w:rPr>
        <w:t>元/人的标准给予一次性奖励。</w:t>
      </w:r>
    </w:p>
    <w:p w14:paraId="70C26D8F">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（三）</w:t>
      </w:r>
      <w:r>
        <w:rPr>
          <w:rFonts w:hint="eastAsia" w:ascii="仿宋_GB2312" w:hAnsi="Times New Roman" w:eastAsia="仿宋_GB2312" w:cs="Times New Roman"/>
          <w:bCs/>
          <w:color w:val="000000"/>
          <w:sz w:val="32"/>
          <w:szCs w:val="32"/>
        </w:rPr>
        <w:t>学校对获得“科研先进个人”荣誉称号的教职工在年度考核评优、晋职晋级时给予优先考虑，在申报省部级及以上级别的科研项目时给予优先推荐。</w:t>
      </w:r>
    </w:p>
    <w:p w14:paraId="1316938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Calibri" w:eastAsia="黑体" w:cs="Times New Roman"/>
          <w:bCs/>
          <w:sz w:val="32"/>
          <w:lang w:val="en-US" w:eastAsia="zh-CN"/>
        </w:rPr>
      </w:pPr>
      <w:r>
        <w:rPr>
          <w:rFonts w:hint="eastAsia" w:ascii="黑体" w:hAnsi="Calibri" w:eastAsia="黑体" w:cs="Times New Roman"/>
          <w:bCs/>
          <w:sz w:val="32"/>
          <w:lang w:val="en-US" w:eastAsia="zh-CN"/>
        </w:rPr>
        <w:t>四、异议及其处理</w:t>
      </w:r>
    </w:p>
    <w:p w14:paraId="478C26E7">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（一）</w:t>
      </w:r>
      <w:r>
        <w:rPr>
          <w:rFonts w:hint="eastAsia" w:ascii="仿宋_GB2312" w:hAnsi="Times New Roman" w:eastAsia="仿宋_GB2312" w:cs="Times New Roman"/>
          <w:bCs/>
          <w:color w:val="000000"/>
          <w:sz w:val="32"/>
          <w:szCs w:val="32"/>
        </w:rPr>
        <w:t>任何部门和个人对评审结果持有异议，应当在公示期内向科研处提出，逾期不予受理。</w:t>
      </w:r>
    </w:p>
    <w:p w14:paraId="64FCFB02">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（二）</w:t>
      </w:r>
      <w:r>
        <w:rPr>
          <w:rFonts w:hint="eastAsia" w:ascii="仿宋_GB2312" w:hAnsi="Times New Roman" w:eastAsia="仿宋_GB2312" w:cs="Times New Roman"/>
          <w:bCs/>
          <w:color w:val="000000"/>
          <w:sz w:val="32"/>
          <w:szCs w:val="32"/>
        </w:rPr>
        <w:t>提出异议的部门或个人应当以真实身份提交书面异议材料，并提供证明文件。以部门名义提出异议的，应当由该部门负责人署名并加盖公章；个人提出异议的，应当在异议材料上签署真实姓名。匿名异议不予受理。推荐部门在规定时间内未按要求提供相关证明材料的，视为承认异议内容；提出异议的部门、个人在规定时间内未按要求提供相关证明材料的，视为放弃异议。经校领导研究异议材料及相关证明材料后，形成最终处理意见并通知异议方和推荐部门。</w:t>
      </w:r>
    </w:p>
    <w:p w14:paraId="53EDEF2A">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（三）</w:t>
      </w:r>
      <w:r>
        <w:rPr>
          <w:rFonts w:hint="eastAsia" w:ascii="仿宋_GB2312" w:hAnsi="Times New Roman" w:eastAsia="仿宋_GB2312" w:cs="Times New Roman"/>
          <w:bCs/>
          <w:color w:val="000000"/>
          <w:sz w:val="32"/>
          <w:szCs w:val="32"/>
        </w:rPr>
        <w:t>科研处以及其他参与异议调查、处理的有关人员应当对异议者的身份予以保密。确实需要公开的，应当事前征求异议者的意见。</w:t>
      </w:r>
    </w:p>
    <w:p w14:paraId="6572B3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Calibri" w:eastAsia="黑体" w:cs="Times New Roman"/>
          <w:bCs/>
          <w:sz w:val="32"/>
          <w:lang w:val="en-US" w:eastAsia="zh-CN"/>
        </w:rPr>
      </w:pPr>
      <w:r>
        <w:rPr>
          <w:rFonts w:hint="eastAsia" w:ascii="黑体" w:hAnsi="Calibri" w:eastAsia="黑体" w:cs="Times New Roman"/>
          <w:bCs/>
          <w:sz w:val="32"/>
          <w:lang w:val="en-US" w:eastAsia="zh-CN"/>
        </w:rPr>
        <w:t>五、其他</w:t>
      </w:r>
    </w:p>
    <w:p w14:paraId="61EDD819">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（一）</w:t>
      </w:r>
      <w:r>
        <w:rPr>
          <w:rFonts w:hint="eastAsia" w:ascii="仿宋_GB2312" w:hAnsi="Times New Roman" w:eastAsia="仿宋_GB2312" w:cs="Times New Roman"/>
          <w:bCs/>
          <w:color w:val="000000"/>
          <w:sz w:val="32"/>
          <w:szCs w:val="32"/>
        </w:rPr>
        <w:t>研究成果存在剽窃、侵权、虚假等情况的，一经查实，将撤销奖励、追回奖金，并追究其责任。</w:t>
      </w:r>
    </w:p>
    <w:p w14:paraId="288640EC">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（二）</w:t>
      </w:r>
      <w:r>
        <w:rPr>
          <w:rFonts w:hint="eastAsia" w:ascii="仿宋_GB2312" w:hAnsi="Times New Roman" w:eastAsia="仿宋_GB2312" w:cs="Times New Roman"/>
          <w:bCs/>
          <w:color w:val="000000"/>
          <w:sz w:val="32"/>
          <w:szCs w:val="32"/>
        </w:rPr>
        <w:t>本办法经校长办公会讨论通过，自颁发之日起正式施行。</w:t>
      </w:r>
    </w:p>
    <w:p w14:paraId="363C8010">
      <w:pPr>
        <w:widowControl/>
        <w:shd w:val="clear" w:color="auto" w:fill="FFFFFF"/>
        <w:spacing w:line="15" w:lineRule="atLeast"/>
        <w:ind w:firstLine="480" w:firstLineChars="150"/>
        <w:jc w:val="left"/>
        <w:rPr>
          <w:rFonts w:ascii="仿宋_GB2312" w:hAnsi="Times New Roman" w:eastAsia="仿宋_GB2312" w:cs="Times New Roman"/>
          <w:bCs/>
          <w:color w:val="000000"/>
          <w:sz w:val="32"/>
          <w:szCs w:val="32"/>
        </w:rPr>
      </w:pPr>
      <w:r>
        <w:rPr>
          <w:rFonts w:hint="eastAsia" w:ascii="楷体" w:hAnsi="楷体" w:eastAsia="楷体" w:cs="Times New Roman"/>
          <w:bCs/>
          <w:color w:val="000000"/>
          <w:sz w:val="32"/>
          <w:szCs w:val="32"/>
        </w:rPr>
        <w:t>（三）</w:t>
      </w:r>
      <w:r>
        <w:rPr>
          <w:rFonts w:hint="eastAsia" w:ascii="仿宋_GB2312" w:hAnsi="Times New Roman" w:eastAsia="仿宋_GB2312" w:cs="Times New Roman"/>
          <w:bCs/>
          <w:color w:val="000000"/>
          <w:sz w:val="32"/>
          <w:szCs w:val="32"/>
        </w:rPr>
        <w:t>本办法由科研处负责解释。执行期间，若有与上级文件相悖之处，以上级文件为准。</w:t>
      </w:r>
    </w:p>
    <w:p w14:paraId="61EDAAE7">
      <w:pPr>
        <w:ind w:firstLine="360" w:firstLineChars="200"/>
        <w:rPr>
          <w:rFonts w:ascii="宋体" w:hAnsi="宋体" w:cs="宋体"/>
          <w:sz w:val="18"/>
          <w:szCs w:val="21"/>
        </w:rPr>
      </w:pPr>
    </w:p>
    <w:p w14:paraId="30E209F0">
      <w:pPr>
        <w:ind w:firstLine="640" w:firstLineChars="200"/>
        <w:jc w:val="left"/>
        <w:rPr>
          <w:rFonts w:hint="eastAsia" w:ascii="仿宋" w:hAnsi="仿宋" w:eastAsia="仿宋" w:cs="方正小标宋简体"/>
          <w:sz w:val="32"/>
          <w:szCs w:val="32"/>
          <w:lang w:val="en-US" w:eastAsia="zh-CN"/>
        </w:rPr>
      </w:pPr>
    </w:p>
    <w:p w14:paraId="4359355A">
      <w:pPr>
        <w:ind w:firstLine="640" w:firstLineChars="200"/>
        <w:jc w:val="left"/>
        <w:rPr>
          <w:rFonts w:hint="eastAsia" w:ascii="仿宋" w:hAnsi="仿宋" w:eastAsia="仿宋" w:cs="方正小标宋简体"/>
          <w:sz w:val="32"/>
          <w:szCs w:val="32"/>
          <w:lang w:val="en-US" w:eastAsia="zh-CN"/>
        </w:rPr>
      </w:pPr>
    </w:p>
    <w:p w14:paraId="3E0FFC35">
      <w:pPr>
        <w:ind w:firstLine="640" w:firstLineChars="200"/>
        <w:jc w:val="left"/>
        <w:rPr>
          <w:rFonts w:hint="eastAsia" w:ascii="仿宋" w:hAnsi="仿宋" w:eastAsia="仿宋" w:cs="方正小标宋简体"/>
          <w:sz w:val="32"/>
          <w:szCs w:val="32"/>
          <w:lang w:val="en-US" w:eastAsia="zh-CN"/>
        </w:rPr>
      </w:pPr>
    </w:p>
    <w:p w14:paraId="326C30FB">
      <w:pPr>
        <w:ind w:firstLine="640" w:firstLineChars="200"/>
        <w:jc w:val="left"/>
        <w:rPr>
          <w:rFonts w:hint="eastAsia" w:ascii="仿宋" w:hAnsi="仿宋" w:eastAsia="仿宋" w:cs="方正小标宋简体"/>
          <w:sz w:val="32"/>
          <w:szCs w:val="32"/>
          <w:lang w:val="en-US" w:eastAsia="zh-CN"/>
        </w:rPr>
      </w:pPr>
    </w:p>
    <w:p w14:paraId="6A37457A">
      <w:pPr>
        <w:pStyle w:val="2"/>
        <w:rPr>
          <w:rFonts w:hint="eastAsia"/>
          <w:lang w:val="en-US" w:eastAsia="zh-CN"/>
        </w:rPr>
      </w:pPr>
    </w:p>
    <w:p w14:paraId="557FBFEE">
      <w:pPr>
        <w:ind w:firstLine="640" w:firstLineChars="200"/>
        <w:jc w:val="left"/>
        <w:rPr>
          <w:rFonts w:hint="eastAsia" w:ascii="仿宋" w:hAnsi="仿宋" w:eastAsia="仿宋" w:cs="方正小标宋简体"/>
          <w:sz w:val="32"/>
          <w:szCs w:val="32"/>
          <w:lang w:val="en-US" w:eastAsia="zh-CN"/>
        </w:rPr>
      </w:pPr>
    </w:p>
    <w:p w14:paraId="76F7EBB1">
      <w:pPr>
        <w:ind w:firstLine="640" w:firstLineChars="200"/>
        <w:jc w:val="left"/>
        <w:rPr>
          <w:rFonts w:hint="eastAsia" w:ascii="仿宋" w:hAnsi="仿宋" w:eastAsia="仿宋" w:cs="方正小标宋简体"/>
          <w:sz w:val="32"/>
          <w:szCs w:val="32"/>
          <w:lang w:val="en-US" w:eastAsia="zh-CN"/>
        </w:rPr>
      </w:pPr>
    </w:p>
    <w:p w14:paraId="1F039F4F">
      <w:pPr>
        <w:ind w:firstLine="640" w:firstLineChars="200"/>
        <w:jc w:val="left"/>
        <w:rPr>
          <w:rFonts w:hint="eastAsia" w:ascii="仿宋" w:hAnsi="仿宋" w:eastAsia="仿宋" w:cs="方正小标宋简体"/>
          <w:sz w:val="32"/>
          <w:szCs w:val="32"/>
          <w:lang w:val="en-US" w:eastAsia="zh-CN"/>
        </w:rPr>
      </w:pPr>
    </w:p>
    <w:p w14:paraId="6E7091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36D56"/>
    <w:rsid w:val="46F3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2025-08-03T06:02:00Z</dcterms:created>
  <dc:creator>Jasmine</dc:creator>
  <cp:lastModifiedBy>Jasmine</cp:lastModifiedBy>
  <dcterms:modified xsi:type="dcterms:W3CDTF">2025-08-03T06:04:05Z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FEC8DA35513D4DD1B1D8130376FEE950_11</vt:lpwstr>
  </property>
  <property fmtid="{D5CDD505-2E9C-101B-9397-08002B2CF9AE}" pid="4" name="KSOTemplateDocerSaveRecord">
    <vt:lpwstr>eyJoZGlkIjoiMTdmZmVjZTMyMTg4NTg4ZWYzNjFmNDZiNjM3NWQyZDgiLCJ1c2VySWQiOiIyOTYwMjcwMjEifQ==</vt:lpwstr>
  </property>
</Properties>
</file>