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A9579">
      <w:pPr>
        <w:keepNext w:val="0"/>
        <w:keepLines w:val="0"/>
        <w:pageBreakBefore w:val="0"/>
        <w:kinsoku/>
        <w:wordWrap/>
        <w:overflowPunct/>
        <w:topLinePunct w:val="0"/>
        <w:autoSpaceDE w:val="0"/>
        <w:autoSpaceDN w:val="0"/>
        <w:bidi w:val="0"/>
        <w:adjustRightInd w:val="0"/>
        <w:snapToGrid w:val="0"/>
        <w:spacing w:line="540" w:lineRule="exact"/>
        <w:jc w:val="left"/>
        <w:rPr>
          <w:rFonts w:hint="eastAsia" w:ascii="Times New Roman" w:hAnsi="Times New Roman" w:eastAsia="黑体" w:cs="黑体"/>
          <w:b w:val="0"/>
          <w:bCs/>
          <w:snapToGrid w:val="0"/>
          <w:color w:val="000000"/>
          <w:spacing w:val="5"/>
          <w:kern w:val="0"/>
          <w:sz w:val="32"/>
          <w:szCs w:val="28"/>
        </w:rPr>
      </w:pPr>
      <w:r>
        <w:rPr>
          <w:rFonts w:hint="eastAsia" w:ascii="Times New Roman" w:hAnsi="Times New Roman" w:eastAsia="黑体" w:cs="黑体"/>
          <w:b w:val="0"/>
          <w:bCs/>
          <w:snapToGrid w:val="0"/>
          <w:color w:val="000000"/>
          <w:spacing w:val="5"/>
          <w:kern w:val="0"/>
          <w:sz w:val="32"/>
          <w:szCs w:val="28"/>
        </w:rPr>
        <mc:AlternateContent>
          <mc:Choice Requires="wps">
            <w:drawing>
              <wp:anchor distT="0" distB="0" distL="114300" distR="114300" simplePos="0" relativeHeight="251660288" behindDoc="0" locked="0" layoutInCell="0" allowOverlap="1">
                <wp:simplePos x="0" y="0"/>
                <wp:positionH relativeFrom="page">
                  <wp:posOffset>-635</wp:posOffset>
                </wp:positionH>
                <wp:positionV relativeFrom="page">
                  <wp:posOffset>10501630</wp:posOffset>
                </wp:positionV>
                <wp:extent cx="508000" cy="0"/>
                <wp:effectExtent l="0" t="0" r="0" b="0"/>
                <wp:wrapThrough wrapText="bothSides">
                  <wp:wrapPolygon>
                    <wp:start x="0" y="0"/>
                    <wp:lineTo x="0" y="0"/>
                    <wp:lineTo x="0" y="0"/>
                  </wp:wrapPolygon>
                </wp:wrapThrough>
                <wp:docPr id="46" name="Text Box 3"/>
                <wp:cNvGraphicFramePr/>
                <a:graphic xmlns:a="http://schemas.openxmlformats.org/drawingml/2006/main">
                  <a:graphicData uri="http://schemas.microsoft.com/office/word/2010/wordprocessingShape">
                    <wps:wsp>
                      <wps:cNvSpPr txBox="1">
                        <a:spLocks noChangeArrowheads="1"/>
                      </wps:cNvSpPr>
                      <wps:spPr bwMode="auto">
                        <a:xfrm>
                          <a:off x="0" y="0"/>
                          <a:ext cx="508000" cy="0"/>
                        </a:xfrm>
                        <a:prstGeom prst="rect">
                          <a:avLst/>
                        </a:prstGeom>
                        <a:noFill/>
                        <a:ln>
                          <a:noFill/>
                        </a:ln>
                      </wps:spPr>
                      <wps:txbx>
                        <w:txbxContent>
                          <w:p w14:paraId="25055C56"/>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0.05pt;margin-top:826.9pt;height:0pt;width:40pt;mso-position-horizontal-relative:page;mso-position-vertical-relative:page;mso-wrap-distance-left:9pt;mso-wrap-distance-right:9pt;z-index:251660288;mso-width-relative:page;mso-height-relative:page;" filled="f" stroked="f" coordsize="21600,21600" wrapcoords="0 0 0 0 0 0" o:allowincell="f" o:gfxdata="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Ampm1AAAAAoBAAAPAAAAAAAAAAEAIAAAACIAAABkcnMvZG93bnJl&#10;di54bWxQSwECFAAUAAAACACHTuJAlR2+WAECAAAPBAAADgAAAAAAAAABACAAAAAjAQAAZHJzL2Uy&#10;b0RvYy54bWxQSwUGAAAAAAYABgBZAQAAlgUAAAAA&#10;">
                <v:fill on="f" focussize="0,0"/>
                <v:stroke on="f"/>
                <v:imagedata o:title=""/>
                <o:lock v:ext="edit" aspectratio="f"/>
                <v:textbox>
                  <w:txbxContent>
                    <w:p w14:paraId="25055C56"/>
                  </w:txbxContent>
                </v:textbox>
                <w10:wrap type="through"/>
              </v:shape>
            </w:pict>
          </mc:Fallback>
        </mc:AlternateContent>
      </w:r>
      <w:r>
        <w:rPr>
          <w:rFonts w:hint="eastAsia" w:ascii="Times New Roman" w:hAnsi="Times New Roman" w:eastAsia="黑体" w:cs="黑体"/>
          <w:b w:val="0"/>
          <w:bCs/>
          <w:snapToGrid w:val="0"/>
          <w:color w:val="000000"/>
          <w:spacing w:val="5"/>
          <w:kern w:val="0"/>
          <w:sz w:val="32"/>
          <w:szCs w:val="28"/>
        </w:rPr>
        <w:t>附件1</w:t>
      </w:r>
    </w:p>
    <w:p w14:paraId="2806ED6E">
      <w:pPr>
        <w:keepNext w:val="0"/>
        <w:keepLines w:val="0"/>
        <w:pageBreakBefore w:val="0"/>
        <w:kinsoku/>
        <w:wordWrap/>
        <w:overflowPunct/>
        <w:topLinePunct w:val="0"/>
        <w:autoSpaceDE w:val="0"/>
        <w:autoSpaceDN w:val="0"/>
        <w:bidi w:val="0"/>
        <w:adjustRightInd w:val="0"/>
        <w:snapToGrid w:val="0"/>
        <w:spacing w:line="540" w:lineRule="exact"/>
        <w:jc w:val="left"/>
        <w:rPr>
          <w:rFonts w:hint="eastAsia" w:ascii="Times New Roman" w:hAnsi="Times New Roman" w:eastAsia="黑体" w:cs="黑体"/>
          <w:b w:val="0"/>
          <w:bCs/>
          <w:snapToGrid w:val="0"/>
          <w:color w:val="000000"/>
          <w:spacing w:val="5"/>
          <w:kern w:val="0"/>
          <w:sz w:val="32"/>
          <w:szCs w:val="28"/>
        </w:rPr>
      </w:pPr>
    </w:p>
    <w:p w14:paraId="2AC08035">
      <w:pPr>
        <w:keepNext w:val="0"/>
        <w:keepLines w:val="0"/>
        <w:pageBreakBefore w:val="0"/>
        <w:kinsoku/>
        <w:wordWrap/>
        <w:overflowPunct/>
        <w:topLinePunct w:val="0"/>
        <w:autoSpaceDE w:val="0"/>
        <w:autoSpaceDN w:val="0"/>
        <w:bidi w:val="0"/>
        <w:adjustRightInd w:val="0"/>
        <w:snapToGrid w:val="0"/>
        <w:spacing w:line="540" w:lineRule="exact"/>
        <w:jc w:val="center"/>
        <w:rPr>
          <w:rFonts w:hint="eastAsia" w:ascii="Times New Roman" w:hAnsi="Times New Roman" w:eastAsia="方正小标宋简体" w:cstheme="majorEastAsia"/>
          <w:b w:val="0"/>
          <w:bCs w:val="0"/>
          <w:color w:val="000000"/>
          <w:kern w:val="0"/>
          <w:sz w:val="40"/>
          <w:szCs w:val="40"/>
        </w:rPr>
      </w:pPr>
      <w:bookmarkStart w:id="0" w:name="OLE_LINK63"/>
      <w:bookmarkStart w:id="1" w:name="OLE_LINK62"/>
      <w:bookmarkStart w:id="2" w:name="OLE_LINK61"/>
      <w:bookmarkStart w:id="3" w:name="OLE_LINK64"/>
      <w:r>
        <w:rPr>
          <w:rFonts w:hint="eastAsia" w:ascii="Times New Roman" w:hAnsi="Times New Roman" w:eastAsia="方正小标宋简体" w:cstheme="majorEastAsia"/>
          <w:b w:val="0"/>
          <w:bCs w:val="0"/>
          <w:color w:val="000000"/>
          <w:kern w:val="0"/>
          <w:sz w:val="40"/>
          <w:szCs w:val="40"/>
        </w:rPr>
        <w:t>课题</w:t>
      </w:r>
      <w:bookmarkEnd w:id="0"/>
      <w:bookmarkEnd w:id="1"/>
      <w:bookmarkEnd w:id="2"/>
      <w:bookmarkEnd w:id="3"/>
      <w:r>
        <w:rPr>
          <w:rFonts w:hint="eastAsia" w:ascii="Times New Roman" w:hAnsi="Times New Roman" w:eastAsia="方正小标宋简体" w:cstheme="majorEastAsia"/>
          <w:b w:val="0"/>
          <w:bCs w:val="0"/>
          <w:color w:val="000000"/>
          <w:kern w:val="0"/>
          <w:sz w:val="40"/>
          <w:szCs w:val="40"/>
        </w:rPr>
        <w:t>申报指南</w:t>
      </w:r>
      <w:bookmarkStart w:id="4" w:name="OLE_LINK4"/>
      <w:r>
        <w:rPr>
          <w:rFonts w:hint="eastAsia" w:ascii="Times New Roman" w:hAnsi="Times New Roman" w:eastAsia="方正小标宋简体" w:cstheme="majorEastAsia"/>
          <w:b w:val="0"/>
          <w:bCs w:val="0"/>
          <w:color w:val="000000"/>
          <w:kern w:val="0"/>
          <w:sz w:val="40"/>
          <w:szCs w:val="40"/>
        </w:rPr>
        <w:t>（</w:t>
      </w:r>
      <w:r>
        <w:rPr>
          <w:rFonts w:hint="eastAsia" w:ascii="Times New Roman" w:hAnsi="Times New Roman" w:eastAsia="方正小标宋简体" w:cstheme="majorEastAsia"/>
          <w:b w:val="0"/>
          <w:bCs w:val="0"/>
          <w:color w:val="000000"/>
          <w:kern w:val="0"/>
          <w:sz w:val="40"/>
          <w:szCs w:val="40"/>
          <w:lang w:val="en-US" w:eastAsia="zh-CN"/>
        </w:rPr>
        <w:t>首批</w:t>
      </w:r>
      <w:r>
        <w:rPr>
          <w:rFonts w:hint="eastAsia" w:ascii="Times New Roman" w:hAnsi="Times New Roman" w:eastAsia="方正小标宋简体" w:cstheme="majorEastAsia"/>
          <w:b w:val="0"/>
          <w:bCs w:val="0"/>
          <w:color w:val="000000"/>
          <w:kern w:val="0"/>
          <w:sz w:val="40"/>
          <w:szCs w:val="40"/>
        </w:rPr>
        <w:t>）</w:t>
      </w:r>
      <w:bookmarkEnd w:id="4"/>
    </w:p>
    <w:p w14:paraId="4B36D4A4">
      <w:pPr>
        <w:keepNext w:val="0"/>
        <w:keepLines w:val="0"/>
        <w:pageBreakBefore w:val="0"/>
        <w:kinsoku/>
        <w:wordWrap/>
        <w:overflowPunct/>
        <w:topLinePunct w:val="0"/>
        <w:autoSpaceDE w:val="0"/>
        <w:autoSpaceDN w:val="0"/>
        <w:bidi w:val="0"/>
        <w:adjustRightInd w:val="0"/>
        <w:snapToGrid w:val="0"/>
        <w:spacing w:line="540" w:lineRule="exact"/>
        <w:jc w:val="center"/>
        <w:rPr>
          <w:rFonts w:hint="eastAsia" w:ascii="Times New Roman" w:hAnsi="Times New Roman" w:eastAsia="方正小标宋简体" w:cstheme="majorEastAsia"/>
          <w:b/>
          <w:bCs/>
          <w:color w:val="000000"/>
          <w:kern w:val="0"/>
          <w:sz w:val="40"/>
          <w:szCs w:val="40"/>
        </w:rPr>
      </w:pPr>
    </w:p>
    <w:p w14:paraId="3E45EBAF">
      <w:pPr>
        <w:pStyle w:val="2"/>
        <w:keepNext w:val="0"/>
        <w:keepLines w:val="0"/>
        <w:pageBreakBefore w:val="0"/>
        <w:kinsoku/>
        <w:wordWrap/>
        <w:overflowPunct/>
        <w:topLinePunct w:val="0"/>
        <w:bidi w:val="0"/>
        <w:spacing w:line="560" w:lineRule="exact"/>
        <w:ind w:firstLine="660" w:firstLineChars="200"/>
        <w:jc w:val="both"/>
        <w:rPr>
          <w:rFonts w:hint="eastAsia" w:ascii="Times New Roman" w:hAnsi="Times New Roman" w:eastAsia="黑体"/>
          <w:b w:val="0"/>
          <w:bCs/>
          <w:spacing w:val="5"/>
          <w:sz w:val="32"/>
          <w:szCs w:val="32"/>
          <w:lang w:eastAsia="zh-CN"/>
        </w:rPr>
      </w:pPr>
      <w:bookmarkStart w:id="5" w:name="_Hlk209087150"/>
      <w:r>
        <w:rPr>
          <w:rFonts w:hint="eastAsia" w:ascii="Times New Roman" w:hAnsi="Times New Roman" w:eastAsia="黑体"/>
          <w:b w:val="0"/>
          <w:bCs/>
          <w:spacing w:val="5"/>
          <w:sz w:val="32"/>
          <w:szCs w:val="32"/>
          <w:lang w:eastAsia="zh-CN"/>
        </w:rPr>
        <w:t>一、课题申报内容</w:t>
      </w:r>
    </w:p>
    <w:p w14:paraId="00F67A6F">
      <w:pPr>
        <w:pStyle w:val="2"/>
        <w:keepNext w:val="0"/>
        <w:keepLines w:val="0"/>
        <w:pageBreakBefore w:val="0"/>
        <w:kinsoku/>
        <w:wordWrap/>
        <w:overflowPunct/>
        <w:topLinePunct w:val="0"/>
        <w:bidi w:val="0"/>
        <w:spacing w:line="560" w:lineRule="exact"/>
        <w:ind w:right="44" w:firstLine="660" w:firstLineChars="200"/>
        <w:jc w:val="both"/>
        <w:rPr>
          <w:rFonts w:hint="eastAsia" w:ascii="Times New Roman" w:hAnsi="Times New Roman" w:eastAsia="仿宋_GB2312"/>
          <w:color w:val="auto"/>
          <w:spacing w:val="5"/>
          <w:sz w:val="32"/>
          <w:szCs w:val="32"/>
          <w:lang w:eastAsia="zh-CN"/>
        </w:rPr>
      </w:pPr>
      <w:r>
        <w:rPr>
          <w:rFonts w:hint="eastAsia" w:ascii="Times New Roman" w:hAnsi="Times New Roman" w:eastAsia="仿宋_GB2312"/>
          <w:spacing w:val="5"/>
          <w:sz w:val="32"/>
          <w:szCs w:val="32"/>
          <w:lang w:eastAsia="zh-CN"/>
        </w:rPr>
        <w:t>本次课题申报需围绕绿色发展路径与双碳政策协同研究；碳排放监测、核算与核查理论与实践；产品碳足迹核算与认证标准；数</w:t>
      </w:r>
      <w:r>
        <w:rPr>
          <w:rFonts w:hint="eastAsia" w:ascii="Times New Roman" w:hAnsi="Times New Roman" w:eastAsia="仿宋_GB2312"/>
          <w:color w:val="auto"/>
          <w:spacing w:val="5"/>
          <w:sz w:val="32"/>
          <w:szCs w:val="32"/>
          <w:lang w:eastAsia="zh-CN"/>
        </w:rPr>
        <w:t>字化能碳管理工具与应用；企业碳排放管理策略与前沿碳中和技术研究；碳交易市场机制与碳金融创新实践；产业绿色低碳转型标准体系构建等重点研究方向展开。</w:t>
      </w:r>
    </w:p>
    <w:bookmarkEnd w:id="5"/>
    <w:p w14:paraId="78B06C2A">
      <w:pPr>
        <w:pStyle w:val="2"/>
        <w:keepNext w:val="0"/>
        <w:keepLines w:val="0"/>
        <w:pageBreakBefore w:val="0"/>
        <w:kinsoku/>
        <w:wordWrap/>
        <w:overflowPunct/>
        <w:topLinePunct w:val="0"/>
        <w:bidi w:val="0"/>
        <w:spacing w:line="560" w:lineRule="exact"/>
        <w:ind w:right="44" w:firstLine="660" w:firstLineChars="200"/>
        <w:rPr>
          <w:rFonts w:hint="eastAsia" w:ascii="Times New Roman" w:hAnsi="Times New Roman" w:eastAsia="仿宋_GB2312"/>
          <w:spacing w:val="5"/>
          <w:sz w:val="32"/>
          <w:szCs w:val="32"/>
          <w:lang w:eastAsia="zh-CN"/>
        </w:rPr>
      </w:pPr>
      <w:r>
        <w:rPr>
          <w:rFonts w:hint="eastAsia" w:ascii="Times New Roman" w:hAnsi="Times New Roman" w:eastAsia="仿宋_GB2312"/>
          <w:color w:val="auto"/>
          <w:spacing w:val="5"/>
          <w:sz w:val="32"/>
          <w:szCs w:val="32"/>
          <w:lang w:eastAsia="zh-CN"/>
        </w:rPr>
        <w:t>围绕上述重点研究方向，</w:t>
      </w:r>
      <w:r>
        <w:rPr>
          <w:rFonts w:hint="eastAsia" w:ascii="Times New Roman" w:hAnsi="Times New Roman" w:eastAsia="仿宋_GB2312"/>
          <w:bCs/>
          <w:color w:val="auto"/>
          <w:spacing w:val="5"/>
          <w:sz w:val="32"/>
          <w:szCs w:val="32"/>
          <w:lang w:eastAsia="zh-CN"/>
        </w:rPr>
        <w:t>以产教融合为纽带，</w:t>
      </w:r>
      <w:r>
        <w:rPr>
          <w:rFonts w:hint="eastAsia" w:ascii="Times New Roman" w:hAnsi="Times New Roman" w:eastAsia="仿宋_GB2312"/>
          <w:color w:val="auto"/>
          <w:spacing w:val="5"/>
          <w:sz w:val="32"/>
          <w:szCs w:val="32"/>
          <w:lang w:eastAsia="zh-CN"/>
        </w:rPr>
        <w:t>系统推进</w:t>
      </w:r>
      <w:r>
        <w:rPr>
          <w:rFonts w:hint="eastAsia" w:ascii="Times New Roman" w:hAnsi="Times New Roman" w:eastAsia="仿宋_GB2312"/>
          <w:bCs/>
          <w:color w:val="auto"/>
          <w:spacing w:val="5"/>
          <w:sz w:val="32"/>
          <w:szCs w:val="32"/>
          <w:lang w:eastAsia="zh-CN"/>
        </w:rPr>
        <w:t>“零碳校园建设与绿色转型</w:t>
      </w:r>
      <w:r>
        <w:rPr>
          <w:rFonts w:hint="eastAsia" w:ascii="Times New Roman" w:hAnsi="Times New Roman" w:eastAsia="仿宋_GB2312"/>
          <w:bCs/>
          <w:spacing w:val="5"/>
          <w:sz w:val="32"/>
          <w:szCs w:val="32"/>
          <w:lang w:eastAsia="zh-CN"/>
        </w:rPr>
        <w:t>—双碳专业教学体系构建—课程开发与实施—教材编制与建设”</w:t>
      </w:r>
      <w:r>
        <w:rPr>
          <w:rFonts w:hint="eastAsia" w:ascii="Times New Roman" w:hAnsi="Times New Roman" w:eastAsia="仿宋_GB2312"/>
          <w:spacing w:val="5"/>
          <w:sz w:val="32"/>
          <w:szCs w:val="32"/>
          <w:lang w:eastAsia="zh-CN"/>
        </w:rPr>
        <w:t>全链条的研究。在</w:t>
      </w:r>
      <w:r>
        <w:rPr>
          <w:rFonts w:hint="eastAsia" w:ascii="Times New Roman" w:hAnsi="Times New Roman" w:eastAsia="仿宋_GB2312"/>
          <w:bCs/>
          <w:color w:val="auto"/>
          <w:spacing w:val="5"/>
          <w:sz w:val="32"/>
          <w:szCs w:val="32"/>
          <w:lang w:eastAsia="zh-CN"/>
        </w:rPr>
        <w:t>零碳校园建设与绿色转型</w:t>
      </w:r>
      <w:r>
        <w:rPr>
          <w:rFonts w:hint="eastAsia" w:ascii="Times New Roman" w:hAnsi="Times New Roman" w:eastAsia="仿宋_GB2312"/>
          <w:spacing w:val="5"/>
          <w:sz w:val="32"/>
          <w:szCs w:val="32"/>
          <w:lang w:eastAsia="zh-CN"/>
        </w:rPr>
        <w:t>方面，聚焦校园绿色低碳转型、智慧数字化能碳管理以及推广绿色校园生活方式等方面，打造集合“技术集成+机制创新+文化培育”的零碳校园建设管理模式，为高校绿色低碳转型提供可落地、可复制的实践路径；在</w:t>
      </w:r>
      <w:r>
        <w:rPr>
          <w:rFonts w:hint="eastAsia" w:ascii="Times New Roman" w:hAnsi="Times New Roman" w:eastAsia="仿宋_GB2312"/>
          <w:bCs/>
          <w:spacing w:val="5"/>
          <w:sz w:val="32"/>
          <w:szCs w:val="32"/>
          <w:lang w:eastAsia="zh-CN"/>
        </w:rPr>
        <w:t>双碳专业教学体系构建</w:t>
      </w:r>
      <w:r>
        <w:rPr>
          <w:rFonts w:hint="eastAsia" w:ascii="Times New Roman" w:hAnsi="Times New Roman" w:eastAsia="仿宋_GB2312"/>
          <w:spacing w:val="5"/>
          <w:sz w:val="32"/>
          <w:szCs w:val="32"/>
          <w:lang w:eastAsia="zh-CN"/>
        </w:rPr>
        <w:t>上，聚焦双碳产业对企业碳管理、产品碳足迹以及碳资产交易等岗位技能实战需求，搭建覆盖政策解读、技术实操、管理应用的模块化、层级化课程框架，确保课程体系与产业岗位需求精准匹配；</w:t>
      </w:r>
      <w:r>
        <w:rPr>
          <w:rFonts w:hint="eastAsia" w:ascii="Times New Roman" w:hAnsi="Times New Roman" w:eastAsia="仿宋_GB2312"/>
          <w:bCs/>
          <w:spacing w:val="5"/>
          <w:sz w:val="32"/>
          <w:szCs w:val="32"/>
          <w:lang w:eastAsia="zh-CN"/>
        </w:rPr>
        <w:t>在课程开发与实施中，</w:t>
      </w:r>
      <w:r>
        <w:rPr>
          <w:rFonts w:hint="eastAsia" w:ascii="Times New Roman" w:hAnsi="Times New Roman" w:eastAsia="仿宋_GB2312"/>
          <w:spacing w:val="5"/>
          <w:sz w:val="32"/>
          <w:szCs w:val="32"/>
          <w:lang w:eastAsia="zh-CN"/>
        </w:rPr>
        <w:t>深化与双碳领域龙头企业、认证机构、金融机构的合作，联合设计融合政策动态、技术标准、市场案例的教学内容，创新项目式教学与岗位模拟实训相结合的教学模式，强化碳排放核算、碳足迹认证、碳金融工具应用等关键环节的实践操作，提升学习者解决实际问题的能力；</w:t>
      </w:r>
      <w:r>
        <w:rPr>
          <w:rFonts w:hint="eastAsia" w:ascii="Times New Roman" w:hAnsi="Times New Roman" w:eastAsia="仿宋_GB2312"/>
          <w:bCs/>
          <w:spacing w:val="5"/>
          <w:sz w:val="32"/>
          <w:szCs w:val="32"/>
          <w:lang w:eastAsia="zh-CN"/>
        </w:rPr>
        <w:t>在教材编制与建设方面，</w:t>
      </w:r>
      <w:r>
        <w:rPr>
          <w:rFonts w:hint="eastAsia" w:ascii="Times New Roman" w:hAnsi="Times New Roman" w:eastAsia="仿宋_GB2312"/>
          <w:spacing w:val="5"/>
          <w:sz w:val="32"/>
          <w:szCs w:val="32"/>
          <w:lang w:eastAsia="zh-CN"/>
        </w:rPr>
        <w:t>同步开发适配不同学习场景的理论教材、实训手册与数字化资源（如虚拟仿真模块、案例数据库），确保内容深度衔接绿色发展政策要求、碳排放监测核算技术标准、企业碳中和实施路径及碳交易市场规则；通过完善产教融合协同育人机制，实现教学内容与产业发展、人才培养与岗位需求的有效衔接，为双碳领域培育具备理论素养与实战能力的复合型人才。根据课题指南申报方向，申报者可结合实际自行设计课题名称和具体研究内容。</w:t>
      </w:r>
    </w:p>
    <w:p w14:paraId="3C114F6B">
      <w:pPr>
        <w:pStyle w:val="2"/>
        <w:keepNext w:val="0"/>
        <w:keepLines w:val="0"/>
        <w:pageBreakBefore w:val="0"/>
        <w:kinsoku/>
        <w:wordWrap/>
        <w:overflowPunct/>
        <w:topLinePunct w:val="0"/>
        <w:bidi w:val="0"/>
        <w:spacing w:line="560" w:lineRule="exact"/>
        <w:ind w:firstLine="663" w:firstLineChars="200"/>
        <w:jc w:val="both"/>
        <w:rPr>
          <w:rFonts w:hint="eastAsia" w:ascii="Times New Roman" w:hAnsi="Times New Roman" w:eastAsia="仿宋_GB2312"/>
          <w:b/>
          <w:bCs/>
          <w:spacing w:val="5"/>
          <w:sz w:val="32"/>
          <w:szCs w:val="32"/>
          <w:lang w:eastAsia="zh-CN"/>
        </w:rPr>
      </w:pPr>
      <w:bookmarkStart w:id="6" w:name="OLE_LINK2"/>
      <w:bookmarkStart w:id="7" w:name="_Hlk209087167"/>
      <w:r>
        <w:rPr>
          <w:rFonts w:hint="eastAsia" w:ascii="Times New Roman" w:hAnsi="Times New Roman" w:eastAsia="仿宋_GB2312"/>
          <w:b/>
          <w:bCs/>
          <w:spacing w:val="5"/>
          <w:sz w:val="32"/>
          <w:szCs w:val="32"/>
          <w:lang w:eastAsia="zh-CN"/>
        </w:rPr>
        <w:t>（一）双碳产教融合机制研究</w:t>
      </w:r>
    </w:p>
    <w:p w14:paraId="701AECD2">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以双碳战略下产业绿色转型需求与教育人才培养目标精准对接为核心，构建“校企协同、双向赋能”的双碳产教融合体系。</w:t>
      </w:r>
    </w:p>
    <w:p w14:paraId="4612A293">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ascii="Times New Roman" w:hAnsi="Times New Roman" w:eastAsia="仿宋_GB2312"/>
          <w:spacing w:val="5"/>
          <w:sz w:val="32"/>
          <w:szCs w:val="32"/>
        </w:rPr>
        <w:t>1</w:t>
      </w:r>
      <w:r>
        <w:rPr>
          <w:rFonts w:hint="eastAsia" w:ascii="Times New Roman" w:hAnsi="Times New Roman" w:eastAsia="仿宋_GB2312" w:cs="仿宋"/>
          <w:spacing w:val="5"/>
          <w:sz w:val="32"/>
          <w:szCs w:val="32"/>
        </w:rPr>
        <w:t>.校企协调机制构建：联合双碳领域龙头企业、行业协会、科研院所，建立常态化校企沟通协调机制，明确校企在人才培养、技术研发、资源共享等方面的权责分工，形成“需求共提、方案共定、过程共管、成果共享”的协同模式，解决校企合作中目标不一致、资源不匹配、对接不顺畅等问题。</w:t>
      </w:r>
      <w:r>
        <w:rPr>
          <w:rFonts w:hint="eastAsia" w:ascii="Times New Roman" w:hAnsi="Times New Roman" w:eastAsia="MS Gothic" w:cs="MS Gothic"/>
          <w:spacing w:val="5"/>
          <w:sz w:val="32"/>
          <w:szCs w:val="32"/>
        </w:rPr>
        <w:t>​</w:t>
      </w:r>
    </w:p>
    <w:p w14:paraId="5AC468E7">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spacing w:val="5"/>
          <w:sz w:val="32"/>
          <w:szCs w:val="32"/>
        </w:rPr>
        <w:t>2</w:t>
      </w:r>
      <w:r>
        <w:rPr>
          <w:rFonts w:hint="eastAsia" w:ascii="Times New Roman" w:hAnsi="Times New Roman" w:eastAsia="仿宋_GB2312" w:cs="仿宋"/>
          <w:spacing w:val="5"/>
          <w:sz w:val="32"/>
          <w:szCs w:val="32"/>
        </w:rPr>
        <w:t>.协同育人平台搭建：依托企业生产基地、科研平台与院校教学资源，共建如“双碳产业学院”“碳管理实训中心”“碳足迹评价实训中心”等实体平台，引入企业真实项目作为教学案例，推动教师到企业实践、企业专家到院校授课，实现教学场景与产业场景深度融合。</w:t>
      </w:r>
      <w:r>
        <w:rPr>
          <w:rFonts w:hint="eastAsia" w:ascii="Times New Roman" w:hAnsi="Times New Roman" w:eastAsia="MS Gothic" w:cs="MS Gothic"/>
          <w:spacing w:val="5"/>
          <w:sz w:val="32"/>
          <w:szCs w:val="32"/>
        </w:rPr>
        <w:t>​</w:t>
      </w:r>
    </w:p>
    <w:p w14:paraId="54D9E1A3">
      <w:pPr>
        <w:keepNext w:val="0"/>
        <w:keepLines w:val="0"/>
        <w:pageBreakBefore w:val="0"/>
        <w:kinsoku/>
        <w:wordWrap/>
        <w:overflowPunct/>
        <w:topLinePunct w:val="0"/>
        <w:bidi w:val="0"/>
        <w:spacing w:line="560" w:lineRule="exact"/>
        <w:ind w:firstLine="660" w:firstLineChars="200"/>
        <w:rPr>
          <w:rFonts w:ascii="Times New Roman" w:hAnsi="Times New Roman" w:eastAsia="仿宋_GB2312" w:cs="Cambria Math"/>
          <w:spacing w:val="5"/>
          <w:sz w:val="32"/>
          <w:szCs w:val="32"/>
        </w:rPr>
      </w:pPr>
      <w:r>
        <w:rPr>
          <w:rFonts w:hint="eastAsia" w:ascii="Times New Roman" w:hAnsi="Times New Roman" w:eastAsia="仿宋_GB2312"/>
          <w:spacing w:val="5"/>
          <w:sz w:val="32"/>
          <w:szCs w:val="32"/>
        </w:rPr>
        <w:t>3</w:t>
      </w:r>
      <w:r>
        <w:rPr>
          <w:rFonts w:hint="eastAsia" w:ascii="Times New Roman" w:hAnsi="Times New Roman" w:eastAsia="仿宋_GB2312" w:cs="仿宋"/>
          <w:spacing w:val="5"/>
          <w:sz w:val="32"/>
          <w:szCs w:val="32"/>
        </w:rPr>
        <w:t>.合作保障与成果转化：制定双碳产教融合专项政策，明确校企合作的资金支持、利益分配、风险分担机制；建立“双碳人才供需对接数据库”，动态匹配产业需求与人才培养方案；推动校企联合开展碳足迹核算技术攻关、绿色标准制定等科研项目，促进科研成果向教学资源、产业应用双向转化，为双碳领域输送兼具理论素养与实战能力的复合型人才。</w:t>
      </w:r>
      <w:r>
        <w:rPr>
          <w:rFonts w:hint="eastAsia" w:ascii="Times New Roman" w:hAnsi="Times New Roman" w:eastAsia="MS Gothic" w:cs="MS Gothic"/>
          <w:spacing w:val="5"/>
          <w:sz w:val="32"/>
          <w:szCs w:val="32"/>
        </w:rPr>
        <w:t>​</w:t>
      </w:r>
    </w:p>
    <w:p w14:paraId="1915D6D7">
      <w:pPr>
        <w:pStyle w:val="2"/>
        <w:keepNext w:val="0"/>
        <w:keepLines w:val="0"/>
        <w:pageBreakBefore w:val="0"/>
        <w:kinsoku/>
        <w:wordWrap/>
        <w:overflowPunct/>
        <w:topLinePunct w:val="0"/>
        <w:bidi w:val="0"/>
        <w:spacing w:line="560" w:lineRule="exact"/>
        <w:ind w:firstLine="663" w:firstLineChars="200"/>
        <w:jc w:val="both"/>
        <w:rPr>
          <w:rFonts w:hint="eastAsia" w:ascii="Times New Roman" w:hAnsi="Times New Roman" w:eastAsia="仿宋_GB2312"/>
          <w:b/>
          <w:bCs/>
          <w:spacing w:val="5"/>
          <w:sz w:val="32"/>
          <w:szCs w:val="32"/>
          <w:lang w:eastAsia="zh-CN"/>
        </w:rPr>
      </w:pPr>
      <w:r>
        <w:rPr>
          <w:rFonts w:hint="eastAsia" w:ascii="Times New Roman" w:hAnsi="Times New Roman" w:eastAsia="仿宋_GB2312"/>
          <w:b/>
          <w:bCs/>
          <w:spacing w:val="5"/>
          <w:sz w:val="32"/>
          <w:szCs w:val="32"/>
          <w:lang w:eastAsia="zh-CN"/>
        </w:rPr>
        <w:t>（二）零碳校园建设与绿色转型</w:t>
      </w:r>
    </w:p>
    <w:p w14:paraId="5F98F68A">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spacing w:val="5"/>
          <w:sz w:val="32"/>
          <w:szCs w:val="32"/>
        </w:rPr>
        <w:t>聚焦高校校园绿色低碳转型核心需求，以“技术集成+机制创新+文化培育”三维协同为核心框架，重点研究分布式光伏、智慧能碳监测等低碳技术的校园集成应用与管理优化路径；探索高校与零碳产业园区、能源企业的协同创新模式，构建“研发</w:t>
      </w:r>
      <w:r>
        <w:rPr>
          <w:rFonts w:hint="eastAsia" w:ascii="Times New Roman" w:hAnsi="Times New Roman" w:eastAsia="仿宋_GB2312"/>
          <w:spacing w:val="5"/>
          <w:sz w:val="32"/>
          <w:szCs w:val="32"/>
          <w:lang w:eastAsia="zh-CN"/>
        </w:rPr>
        <w:t>—</w:t>
      </w:r>
      <w:bookmarkStart w:id="11" w:name="_GoBack"/>
      <w:bookmarkEnd w:id="11"/>
      <w:r>
        <w:rPr>
          <w:rFonts w:hint="eastAsia" w:ascii="Times New Roman" w:hAnsi="Times New Roman" w:eastAsia="仿宋_GB2312"/>
          <w:spacing w:val="5"/>
          <w:sz w:val="32"/>
          <w:szCs w:val="32"/>
        </w:rPr>
        <w:t>验证</w:t>
      </w:r>
      <w:r>
        <w:rPr>
          <w:rFonts w:hint="eastAsia" w:ascii="Times New Roman" w:hAnsi="Times New Roman" w:eastAsia="仿宋_GB2312"/>
          <w:spacing w:val="5"/>
          <w:sz w:val="32"/>
          <w:szCs w:val="32"/>
          <w:lang w:eastAsia="zh-CN"/>
        </w:rPr>
        <w:t>—</w:t>
      </w:r>
      <w:r>
        <w:rPr>
          <w:rFonts w:hint="eastAsia" w:ascii="Times New Roman" w:hAnsi="Times New Roman" w:eastAsia="仿宋_GB2312"/>
          <w:spacing w:val="5"/>
          <w:sz w:val="32"/>
          <w:szCs w:val="32"/>
        </w:rPr>
        <w:t>推广”全链条转化机制；挖掘绿色校园文化培育与师生低碳行为引导策略，完善碳普惠积分等激励体系。最终形成可落地、可复制的零碳校园建设方案，为高校绿色转型提供理论支撑与实践指导，助力教育领域绿色发展与新质生产力培育。</w:t>
      </w:r>
    </w:p>
    <w:p w14:paraId="60A5B0CB">
      <w:pPr>
        <w:pStyle w:val="2"/>
        <w:keepNext w:val="0"/>
        <w:keepLines w:val="0"/>
        <w:pageBreakBefore w:val="0"/>
        <w:kinsoku/>
        <w:wordWrap/>
        <w:overflowPunct/>
        <w:topLinePunct w:val="0"/>
        <w:bidi w:val="0"/>
        <w:spacing w:line="560" w:lineRule="exact"/>
        <w:ind w:firstLine="663" w:firstLineChars="200"/>
        <w:jc w:val="both"/>
        <w:rPr>
          <w:rFonts w:hint="eastAsia" w:ascii="Times New Roman" w:hAnsi="Times New Roman" w:eastAsia="仿宋_GB2312"/>
          <w:b/>
          <w:bCs/>
          <w:spacing w:val="5"/>
          <w:sz w:val="32"/>
          <w:szCs w:val="32"/>
          <w:lang w:eastAsia="zh-CN"/>
        </w:rPr>
      </w:pPr>
      <w:r>
        <w:rPr>
          <w:rFonts w:hint="eastAsia" w:ascii="Times New Roman" w:hAnsi="Times New Roman" w:eastAsia="仿宋_GB2312"/>
          <w:b/>
          <w:bCs/>
          <w:spacing w:val="5"/>
          <w:sz w:val="32"/>
          <w:szCs w:val="32"/>
          <w:lang w:eastAsia="zh-CN"/>
        </w:rPr>
        <w:t>（三）双碳</w:t>
      </w:r>
      <w:bookmarkStart w:id="8" w:name="_Hlk215158372"/>
      <w:r>
        <w:rPr>
          <w:rFonts w:hint="eastAsia" w:ascii="Times New Roman" w:hAnsi="Times New Roman" w:eastAsia="仿宋_GB2312"/>
          <w:b/>
          <w:bCs/>
          <w:spacing w:val="5"/>
          <w:sz w:val="32"/>
          <w:szCs w:val="32"/>
          <w:lang w:eastAsia="zh-CN"/>
        </w:rPr>
        <w:t>专业教学</w:t>
      </w:r>
      <w:bookmarkEnd w:id="8"/>
      <w:r>
        <w:rPr>
          <w:rFonts w:hint="eastAsia" w:ascii="Times New Roman" w:hAnsi="Times New Roman" w:eastAsia="仿宋_GB2312"/>
          <w:b/>
          <w:bCs/>
          <w:spacing w:val="5"/>
          <w:sz w:val="32"/>
          <w:szCs w:val="32"/>
          <w:lang w:eastAsia="zh-CN"/>
        </w:rPr>
        <w:t>体系构建</w:t>
      </w:r>
    </w:p>
    <w:p w14:paraId="2A53B61D">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以“双碳”产业真实需求为导向，构建涵盖通识教育课程、专业基础课程、专业核心课程、实践课程的“双碳”特色专业教学体系。通识教育课程注重培养学生的“双碳”意识和可持续发展理念；专业基础课程夯实学生的“双碳”专业基础知识；专业核心课程紧密围绕“双碳”领域的前沿技术和热点问题，如数字化能碳监测与管理技术、碳捕集与封存技术、可再生能源资源利用技术、新型储能技术、碳市场交易机制、碳金融创新工具等；实践课程包括实验、实习、毕业设计等环节，强化学生的实践操作能力和创新能力。</w:t>
      </w:r>
    </w:p>
    <w:p w14:paraId="27D02F6A">
      <w:pPr>
        <w:pStyle w:val="2"/>
        <w:keepNext w:val="0"/>
        <w:keepLines w:val="0"/>
        <w:pageBreakBefore w:val="0"/>
        <w:kinsoku/>
        <w:wordWrap/>
        <w:overflowPunct/>
        <w:topLinePunct w:val="0"/>
        <w:bidi w:val="0"/>
        <w:spacing w:line="560" w:lineRule="exact"/>
        <w:ind w:firstLine="663" w:firstLineChars="200"/>
        <w:jc w:val="both"/>
        <w:rPr>
          <w:rFonts w:hint="eastAsia" w:ascii="Times New Roman" w:hAnsi="Times New Roman" w:eastAsia="仿宋_GB2312"/>
          <w:b/>
          <w:bCs/>
          <w:spacing w:val="5"/>
          <w:sz w:val="32"/>
          <w:szCs w:val="32"/>
          <w:lang w:eastAsia="zh-CN"/>
        </w:rPr>
      </w:pPr>
      <w:r>
        <w:rPr>
          <w:rFonts w:hint="eastAsia" w:ascii="Times New Roman" w:hAnsi="Times New Roman" w:eastAsia="仿宋_GB2312"/>
          <w:b/>
          <w:bCs/>
          <w:spacing w:val="5"/>
          <w:sz w:val="32"/>
          <w:szCs w:val="32"/>
          <w:lang w:eastAsia="zh-CN"/>
        </w:rPr>
        <w:t>（四）课程开发与实施</w:t>
      </w:r>
    </w:p>
    <w:p w14:paraId="37847EC2">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组织校企联合课程开发团队，共同编写具有“双碳”特色的教材和教学资源。引入企业实际案例和项目，将企业最新的技术、工艺和管理经验融入课程教学中，提高课程的实用性和针对性。采用线上线下相结合的混合式教学模式，利用现代信息技术手段，丰富教学资源，提高教学效果。建立课程质量评价机制，定期对课程的教学内容、教学方法、教学效果等进行评估和反馈，不断优化课程建设。</w:t>
      </w:r>
    </w:p>
    <w:p w14:paraId="29389AB3">
      <w:pPr>
        <w:pStyle w:val="2"/>
        <w:keepNext w:val="0"/>
        <w:keepLines w:val="0"/>
        <w:pageBreakBefore w:val="0"/>
        <w:kinsoku/>
        <w:wordWrap/>
        <w:overflowPunct/>
        <w:topLinePunct w:val="0"/>
        <w:bidi w:val="0"/>
        <w:spacing w:line="560" w:lineRule="exact"/>
        <w:ind w:firstLine="663" w:firstLineChars="200"/>
        <w:jc w:val="both"/>
        <w:rPr>
          <w:rFonts w:hint="eastAsia" w:ascii="Times New Roman" w:hAnsi="Times New Roman" w:eastAsia="仿宋_GB2312"/>
          <w:b/>
          <w:bCs/>
          <w:spacing w:val="5"/>
          <w:sz w:val="32"/>
          <w:szCs w:val="32"/>
          <w:lang w:eastAsia="zh-CN"/>
        </w:rPr>
      </w:pPr>
      <w:r>
        <w:rPr>
          <w:rFonts w:hint="eastAsia" w:ascii="Times New Roman" w:hAnsi="Times New Roman" w:eastAsia="仿宋_GB2312"/>
          <w:b/>
          <w:bCs/>
          <w:spacing w:val="5"/>
          <w:sz w:val="32"/>
          <w:szCs w:val="32"/>
          <w:lang w:eastAsia="zh-CN"/>
        </w:rPr>
        <w:t>（五）教材编制与建设</w:t>
      </w:r>
    </w:p>
    <w:p w14:paraId="2F2C7E9C">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ascii="Times New Roman" w:hAnsi="Times New Roman" w:eastAsia="仿宋_GB2312"/>
          <w:spacing w:val="5"/>
          <w:sz w:val="32"/>
          <w:szCs w:val="32"/>
        </w:rPr>
        <w:t>1</w:t>
      </w:r>
      <w:r>
        <w:rPr>
          <w:rFonts w:hint="eastAsia" w:ascii="Times New Roman" w:hAnsi="Times New Roman" w:eastAsia="仿宋_GB2312" w:cs="仿宋"/>
          <w:spacing w:val="5"/>
          <w:sz w:val="32"/>
          <w:szCs w:val="32"/>
        </w:rPr>
        <w:t>.大纲制定：教材开发过程需要结合以上系统课程体系和行业需求，组织专家团队紧密围绕教学目标研制适合高职院校的“双碳”微专业教材大纲。课程内容需紧跟双碳领域的最新发展，确保与当前技术进步和应用趋势保持同步，同时具备前瞻性，引导学生掌握前沿技术动态和未来应用趋势。</w:t>
      </w:r>
    </w:p>
    <w:p w14:paraId="2038669A">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spacing w:val="5"/>
          <w:sz w:val="32"/>
          <w:szCs w:val="32"/>
        </w:rPr>
        <w:t>2</w:t>
      </w:r>
      <w:r>
        <w:rPr>
          <w:rFonts w:hint="eastAsia" w:ascii="Times New Roman" w:hAnsi="Times New Roman" w:eastAsia="仿宋_GB2312" w:cs="仿宋"/>
          <w:spacing w:val="5"/>
          <w:sz w:val="32"/>
          <w:szCs w:val="32"/>
        </w:rPr>
        <w:t>.教材编写：项目团队在系统制定教材编写大纲的基础上组织教材编写，教材编写过程中强调教材的实用性，注重理论与实践相结合，通过丰富的案例和实践训练，提高学生解决问题的能力。</w:t>
      </w:r>
    </w:p>
    <w:p w14:paraId="58A709F6">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spacing w:val="5"/>
          <w:sz w:val="32"/>
          <w:szCs w:val="32"/>
        </w:rPr>
        <w:t>3</w:t>
      </w:r>
      <w:r>
        <w:rPr>
          <w:rFonts w:hint="eastAsia" w:ascii="Times New Roman" w:hAnsi="Times New Roman" w:eastAsia="仿宋_GB2312" w:cs="仿宋"/>
          <w:spacing w:val="5"/>
          <w:sz w:val="32"/>
          <w:szCs w:val="32"/>
        </w:rPr>
        <w:t>.教学资源建设：纸质教材开发同时需开发相关的教学资源，如教学视频、电子课件、习题试题、教学案例、实习机会等，形成优质共享的专业教学资源库。</w:t>
      </w:r>
    </w:p>
    <w:p w14:paraId="61CEEF35">
      <w:pPr>
        <w:pStyle w:val="2"/>
        <w:keepNext w:val="0"/>
        <w:keepLines w:val="0"/>
        <w:pageBreakBefore w:val="0"/>
        <w:kinsoku/>
        <w:wordWrap/>
        <w:overflowPunct/>
        <w:topLinePunct w:val="0"/>
        <w:bidi w:val="0"/>
        <w:spacing w:line="560" w:lineRule="exact"/>
        <w:ind w:firstLine="660" w:firstLineChars="200"/>
        <w:jc w:val="both"/>
        <w:rPr>
          <w:rFonts w:hint="eastAsia" w:ascii="Times New Roman" w:hAnsi="Times New Roman" w:eastAsia="黑体"/>
          <w:b w:val="0"/>
          <w:bCs/>
          <w:spacing w:val="5"/>
          <w:sz w:val="32"/>
          <w:szCs w:val="32"/>
          <w:lang w:eastAsia="zh-CN"/>
        </w:rPr>
      </w:pPr>
      <w:bookmarkStart w:id="9" w:name="_Hlk209087190"/>
      <w:r>
        <w:rPr>
          <w:rFonts w:hint="eastAsia" w:ascii="Times New Roman" w:hAnsi="Times New Roman" w:eastAsia="黑体"/>
          <w:b w:val="0"/>
          <w:bCs/>
          <w:spacing w:val="5"/>
          <w:sz w:val="32"/>
          <w:szCs w:val="32"/>
          <w:lang w:eastAsia="zh-CN"/>
        </w:rPr>
        <w:t>二、课题申报条件</w:t>
      </w:r>
    </w:p>
    <w:bookmarkEnd w:id="6"/>
    <w:bookmarkEnd w:id="7"/>
    <w:bookmarkEnd w:id="9"/>
    <w:p w14:paraId="4BC546FE">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（一）课题负责人应在相关研究领域有一定的成果积累，每人限报一项课题。课题组成员不少于</w:t>
      </w:r>
      <w:r>
        <w:rPr>
          <w:rFonts w:hint="eastAsia" w:ascii="Times New Roman" w:hAnsi="Times New Roman" w:eastAsia="仿宋_GB2312"/>
          <w:spacing w:val="5"/>
          <w:sz w:val="32"/>
          <w:szCs w:val="32"/>
        </w:rPr>
        <w:t>3</w:t>
      </w:r>
      <w:r>
        <w:rPr>
          <w:rFonts w:hint="eastAsia" w:ascii="Times New Roman" w:hAnsi="Times New Roman" w:eastAsia="仿宋_GB2312" w:cs="仿宋"/>
          <w:spacing w:val="5"/>
          <w:sz w:val="32"/>
          <w:szCs w:val="32"/>
        </w:rPr>
        <w:t>人，可以包含学校、用人单位、研究机构有关人员，人员结构合理，分工明确。</w:t>
      </w:r>
    </w:p>
    <w:p w14:paraId="63AED2EC">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spacing w:val="5"/>
          <w:sz w:val="32"/>
          <w:szCs w:val="32"/>
        </w:rPr>
        <w:t>（二）</w:t>
      </w:r>
      <w:r>
        <w:rPr>
          <w:rFonts w:hint="eastAsia" w:ascii="Times New Roman" w:hAnsi="Times New Roman" w:eastAsia="仿宋_GB2312" w:cs="仿宋"/>
          <w:spacing w:val="5"/>
          <w:sz w:val="32"/>
          <w:szCs w:val="32"/>
        </w:rPr>
        <w:t>课题根据课题经费数额分为一般课题、重点课题和重大课题。一般课题主持人应具有中级及以上职称（讲师、中小学一级教师、助理研究员）。重点课题和重大课题主持人应具有高级及以上专业技术职称（高等学校副教授和相应职称及以上、中专高级讲师及以上、中小学高级教师或高级科研助理及以上，不具备高级专业技术职称者，须有两名高级专业技术职称的人员书面推荐）。</w:t>
      </w:r>
    </w:p>
    <w:p w14:paraId="43E4509A">
      <w:pPr>
        <w:pStyle w:val="2"/>
        <w:keepNext w:val="0"/>
        <w:keepLines w:val="0"/>
        <w:pageBreakBefore w:val="0"/>
        <w:kinsoku/>
        <w:wordWrap/>
        <w:overflowPunct/>
        <w:topLinePunct w:val="0"/>
        <w:bidi w:val="0"/>
        <w:spacing w:line="560" w:lineRule="exact"/>
        <w:ind w:firstLine="660" w:firstLineChars="200"/>
        <w:jc w:val="both"/>
        <w:rPr>
          <w:rFonts w:hint="eastAsia" w:ascii="Times New Roman" w:hAnsi="Times New Roman" w:eastAsia="黑体"/>
          <w:b w:val="0"/>
          <w:bCs/>
          <w:spacing w:val="5"/>
          <w:sz w:val="32"/>
          <w:szCs w:val="32"/>
          <w:lang w:eastAsia="zh-CN"/>
        </w:rPr>
      </w:pPr>
      <w:r>
        <w:rPr>
          <w:rFonts w:hint="eastAsia" w:ascii="Times New Roman" w:hAnsi="Times New Roman" w:eastAsia="黑体"/>
          <w:b w:val="0"/>
          <w:bCs/>
          <w:spacing w:val="5"/>
          <w:sz w:val="32"/>
          <w:szCs w:val="32"/>
          <w:lang w:eastAsia="zh-CN"/>
        </w:rPr>
        <w:t>三、课题要求</w:t>
      </w:r>
    </w:p>
    <w:p w14:paraId="144B7D78">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bookmarkStart w:id="10" w:name="OLE_LINK6"/>
      <w:r>
        <w:rPr>
          <w:rFonts w:hint="eastAsia" w:ascii="Times New Roman" w:hAnsi="Times New Roman" w:eastAsia="仿宋_GB2312" w:cs="仿宋"/>
          <w:spacing w:val="5"/>
          <w:sz w:val="32"/>
          <w:szCs w:val="32"/>
        </w:rPr>
        <w:t>（一）</w:t>
      </w:r>
      <w:bookmarkEnd w:id="10"/>
      <w:r>
        <w:rPr>
          <w:rFonts w:hint="eastAsia" w:ascii="Times New Roman" w:hAnsi="Times New Roman" w:eastAsia="仿宋_GB2312" w:cs="仿宋"/>
          <w:spacing w:val="5"/>
          <w:sz w:val="32"/>
          <w:szCs w:val="32"/>
        </w:rPr>
        <w:t>课题研究应注重应用性与创新性，以总结既有经验和案例为基础，体现可操作性，具有实践应用的价值。注重形成标准体系、制度体系、实施意见、工作指南、技术方案、案例库、课程体系及教材资源等可落地的成果。</w:t>
      </w:r>
    </w:p>
    <w:p w14:paraId="35C9C720">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（二）课题要求可提交研究报告、调研报告、学术论文或专著等研究成果。课题研究成果在公开发表、出版或内部呈送时,均应在显著位置注明“教育部学校规划建设发展中心联合全国双碳行业产教融合共同体</w:t>
      </w:r>
      <w:r>
        <w:rPr>
          <w:rFonts w:hint="eastAsia" w:ascii="Times New Roman" w:hAnsi="Times New Roman" w:eastAsia="仿宋_GB2312"/>
          <w:spacing w:val="5"/>
          <w:sz w:val="32"/>
          <w:szCs w:val="32"/>
        </w:rPr>
        <w:t>2025</w:t>
      </w:r>
      <w:r>
        <w:rPr>
          <w:rFonts w:hint="eastAsia" w:ascii="Times New Roman" w:hAnsi="Times New Roman" w:eastAsia="仿宋_GB2312" w:cs="仿宋"/>
          <w:spacing w:val="5"/>
          <w:sz w:val="32"/>
          <w:szCs w:val="32"/>
        </w:rPr>
        <w:t>年度‘双碳’行业产教融合研究课题”字样（含课题名称和编号）。</w:t>
      </w:r>
    </w:p>
    <w:p w14:paraId="658194A8">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（三）立项课题研究工作完成后，课题承担单位提出验收申请，规建中心联合共同体组织结题验收。验收通过的，规建中心将为课题组颁发课题结题证明；验收未通过的，将给予</w:t>
      </w:r>
      <w:r>
        <w:rPr>
          <w:rFonts w:hint="eastAsia" w:ascii="Times New Roman" w:hAnsi="Times New Roman" w:eastAsia="仿宋_GB2312"/>
          <w:spacing w:val="5"/>
          <w:sz w:val="32"/>
          <w:szCs w:val="32"/>
        </w:rPr>
        <w:t>6</w:t>
      </w:r>
      <w:r>
        <w:rPr>
          <w:rFonts w:hint="eastAsia" w:ascii="Times New Roman" w:hAnsi="Times New Roman" w:eastAsia="仿宋_GB2312" w:cs="仿宋"/>
          <w:spacing w:val="5"/>
          <w:sz w:val="32"/>
          <w:szCs w:val="32"/>
        </w:rPr>
        <w:t>个月的补充研究或修改时间，完成后再次验收。</w:t>
      </w:r>
    </w:p>
    <w:p w14:paraId="20E2AE22">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（四）课题负责人需做好经费使用管理，在申报时做好经费预算，在结题时提交经费决算表。</w:t>
      </w:r>
    </w:p>
    <w:p w14:paraId="6D83DDCE">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（五）课题产生的知识产权归属由课题申请方和出资方根据具体贡献情况协商确定。</w:t>
      </w:r>
    </w:p>
    <w:p w14:paraId="0FD4C702">
      <w:pPr>
        <w:pStyle w:val="2"/>
        <w:keepNext w:val="0"/>
        <w:keepLines w:val="0"/>
        <w:pageBreakBefore w:val="0"/>
        <w:kinsoku/>
        <w:wordWrap/>
        <w:overflowPunct/>
        <w:topLinePunct w:val="0"/>
        <w:bidi w:val="0"/>
        <w:spacing w:line="560" w:lineRule="exact"/>
        <w:ind w:firstLine="660" w:firstLineChars="200"/>
        <w:jc w:val="both"/>
        <w:rPr>
          <w:rFonts w:hint="eastAsia" w:ascii="Times New Roman" w:hAnsi="Times New Roman" w:eastAsia="黑体"/>
          <w:b w:val="0"/>
          <w:bCs/>
          <w:spacing w:val="5"/>
          <w:sz w:val="32"/>
          <w:szCs w:val="32"/>
          <w:lang w:eastAsia="zh-CN"/>
        </w:rPr>
      </w:pPr>
      <w:r>
        <w:rPr>
          <w:rFonts w:hint="eastAsia" w:ascii="Times New Roman" w:hAnsi="Times New Roman" w:eastAsia="黑体"/>
          <w:b w:val="0"/>
          <w:bCs/>
          <w:spacing w:val="5"/>
          <w:sz w:val="32"/>
          <w:szCs w:val="32"/>
          <w:lang w:eastAsia="zh-CN"/>
        </w:rPr>
        <w:t>四、课题支持</w:t>
      </w:r>
    </w:p>
    <w:p w14:paraId="4BC8296E">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（一）课题研究周期为</w:t>
      </w:r>
      <w:r>
        <w:rPr>
          <w:rFonts w:ascii="Times New Roman" w:hAnsi="Times New Roman" w:eastAsia="仿宋_GB2312"/>
          <w:spacing w:val="5"/>
          <w:sz w:val="32"/>
          <w:szCs w:val="32"/>
        </w:rPr>
        <w:t>1</w:t>
      </w:r>
      <w:r>
        <w:rPr>
          <w:rFonts w:hint="eastAsia" w:ascii="Times New Roman" w:hAnsi="Times New Roman" w:eastAsia="仿宋_GB2312" w:cs="仿宋"/>
          <w:spacing w:val="5"/>
          <w:sz w:val="32"/>
          <w:szCs w:val="32"/>
        </w:rPr>
        <w:t>年，个别课题需要延长的可根据课题复杂程度适度延长执行周期，延长时间不超过</w:t>
      </w:r>
      <w:r>
        <w:rPr>
          <w:rFonts w:hint="eastAsia" w:ascii="Times New Roman" w:hAnsi="Times New Roman" w:eastAsia="仿宋_GB2312"/>
          <w:spacing w:val="5"/>
          <w:sz w:val="32"/>
          <w:szCs w:val="32"/>
        </w:rPr>
        <w:t>1</w:t>
      </w:r>
      <w:r>
        <w:rPr>
          <w:rFonts w:hint="eastAsia" w:ascii="Times New Roman" w:hAnsi="Times New Roman" w:eastAsia="仿宋_GB2312" w:cs="仿宋"/>
          <w:spacing w:val="5"/>
          <w:sz w:val="32"/>
          <w:szCs w:val="32"/>
        </w:rPr>
        <w:t>年。</w:t>
      </w:r>
    </w:p>
    <w:p w14:paraId="3001D044">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（二）共同体协调相关支持单位，为课题研究提供现金、软硬件设施、素材资源及技术援助等支持，课题负责人需做好经费使用管理。</w:t>
      </w:r>
    </w:p>
    <w:p w14:paraId="5AC2EEC2">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（三）课题经费包含资金支持及必要的软硬件设施支持；一般课题经费为</w:t>
      </w:r>
      <w:r>
        <w:rPr>
          <w:rFonts w:hint="eastAsia" w:ascii="Times New Roman" w:hAnsi="Times New Roman" w:eastAsia="仿宋_GB2312"/>
          <w:spacing w:val="5"/>
          <w:sz w:val="32"/>
          <w:szCs w:val="32"/>
        </w:rPr>
        <w:t>2至5</w:t>
      </w:r>
      <w:r>
        <w:rPr>
          <w:rFonts w:hint="eastAsia" w:ascii="Times New Roman" w:hAnsi="Times New Roman" w:eastAsia="仿宋_GB2312" w:cs="仿宋"/>
          <w:spacing w:val="5"/>
          <w:sz w:val="32"/>
          <w:szCs w:val="32"/>
        </w:rPr>
        <w:t>万元人民币，重点课题经费为</w:t>
      </w:r>
      <w:r>
        <w:rPr>
          <w:rFonts w:hint="eastAsia" w:ascii="Times New Roman" w:hAnsi="Times New Roman" w:eastAsia="仿宋_GB2312"/>
          <w:spacing w:val="5"/>
          <w:sz w:val="32"/>
          <w:szCs w:val="32"/>
        </w:rPr>
        <w:t>5</w:t>
      </w:r>
      <w:r>
        <w:rPr>
          <w:rFonts w:hint="eastAsia" w:ascii="Times New Roman" w:hAnsi="Times New Roman" w:eastAsia="仿宋_GB2312" w:cs="仿宋"/>
          <w:spacing w:val="5"/>
          <w:sz w:val="32"/>
          <w:szCs w:val="32"/>
        </w:rPr>
        <w:t>（不含）至</w:t>
      </w:r>
      <w:r>
        <w:rPr>
          <w:rFonts w:hint="eastAsia" w:ascii="Times New Roman" w:hAnsi="Times New Roman" w:eastAsia="仿宋_GB2312"/>
          <w:spacing w:val="5"/>
          <w:sz w:val="32"/>
          <w:szCs w:val="32"/>
        </w:rPr>
        <w:t>20</w:t>
      </w:r>
      <w:r>
        <w:rPr>
          <w:rFonts w:hint="eastAsia" w:ascii="Times New Roman" w:hAnsi="Times New Roman" w:eastAsia="仿宋_GB2312" w:cs="仿宋"/>
          <w:spacing w:val="5"/>
          <w:sz w:val="32"/>
          <w:szCs w:val="32"/>
        </w:rPr>
        <w:t>万元人民币，重大课题经费为</w:t>
      </w:r>
      <w:r>
        <w:rPr>
          <w:rFonts w:hint="eastAsia" w:ascii="Times New Roman" w:hAnsi="Times New Roman" w:eastAsia="仿宋_GB2312"/>
          <w:spacing w:val="5"/>
          <w:sz w:val="32"/>
          <w:szCs w:val="32"/>
        </w:rPr>
        <w:t>20</w:t>
      </w:r>
      <w:r>
        <w:rPr>
          <w:rFonts w:hint="eastAsia" w:ascii="Times New Roman" w:hAnsi="Times New Roman" w:eastAsia="仿宋_GB2312" w:cs="仿宋"/>
          <w:spacing w:val="5"/>
          <w:sz w:val="32"/>
          <w:szCs w:val="32"/>
        </w:rPr>
        <w:t>万元人民币以上；课题经费数额根据研究难度、目的意义及工作量大小等因素确定。</w:t>
      </w:r>
    </w:p>
    <w:p w14:paraId="4B8873CD">
      <w:pPr>
        <w:keepNext w:val="0"/>
        <w:keepLines w:val="0"/>
        <w:pageBreakBefore w:val="0"/>
        <w:kinsoku/>
        <w:wordWrap/>
        <w:overflowPunct/>
        <w:topLinePunct w:val="0"/>
        <w:bidi w:val="0"/>
        <w:spacing w:line="560" w:lineRule="exact"/>
        <w:ind w:firstLine="660" w:firstLineChars="200"/>
        <w:rPr>
          <w:rFonts w:hint="eastAsia" w:ascii="Times New Roman" w:hAnsi="Times New Roman" w:eastAsia="仿宋_GB2312" w:cs="仿宋"/>
          <w:spacing w:val="5"/>
          <w:sz w:val="32"/>
          <w:szCs w:val="32"/>
        </w:rPr>
      </w:pPr>
      <w:r>
        <w:rPr>
          <w:rFonts w:hint="eastAsia" w:ascii="Times New Roman" w:hAnsi="Times New Roman" w:eastAsia="仿宋_GB2312" w:cs="仿宋"/>
          <w:spacing w:val="5"/>
          <w:sz w:val="32"/>
          <w:szCs w:val="32"/>
        </w:rPr>
        <w:t>（四）课题申报结束时间为2026年3月31日（以纸质申报书送达时间为准），逾期不予受理。</w:t>
      </w:r>
    </w:p>
    <w:p w14:paraId="32B8ADB2">
      <w:pPr>
        <w:keepNext w:val="0"/>
        <w:keepLines w:val="0"/>
        <w:pageBreakBefore w:val="0"/>
        <w:kinsoku/>
        <w:wordWrap/>
        <w:overflowPunct/>
        <w:topLinePunct w:val="0"/>
        <w:bidi w:val="0"/>
        <w:spacing w:line="540" w:lineRule="exact"/>
        <w:ind w:firstLine="660" w:firstLineChars="200"/>
        <w:rPr>
          <w:rFonts w:hint="eastAsia" w:ascii="Times New Roman" w:hAnsi="Times New Roman" w:eastAsia="仿宋_GB2312" w:cs="仿宋"/>
          <w:spacing w:val="5"/>
          <w:sz w:val="32"/>
          <w:szCs w:val="32"/>
        </w:rPr>
      </w:pPr>
    </w:p>
    <w:sectPr>
      <w:footerReference r:id="rId3" w:type="default"/>
      <w:pgSz w:w="11907" w:h="16839"/>
      <w:pgMar w:top="1440" w:right="1304" w:bottom="1440" w:left="158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68B1">
    <w:pPr>
      <w:spacing w:line="226" w:lineRule="auto"/>
      <w:ind w:left="447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10A8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510A8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08"/>
    <w:rsid w:val="00024554"/>
    <w:rsid w:val="000319B4"/>
    <w:rsid w:val="00033150"/>
    <w:rsid w:val="00061FC3"/>
    <w:rsid w:val="000A5580"/>
    <w:rsid w:val="000B4272"/>
    <w:rsid w:val="000C7279"/>
    <w:rsid w:val="000D4423"/>
    <w:rsid w:val="001130FF"/>
    <w:rsid w:val="001200C7"/>
    <w:rsid w:val="00120FB2"/>
    <w:rsid w:val="00127769"/>
    <w:rsid w:val="00135916"/>
    <w:rsid w:val="00136001"/>
    <w:rsid w:val="00157DB2"/>
    <w:rsid w:val="00177F83"/>
    <w:rsid w:val="00185C14"/>
    <w:rsid w:val="00186B9D"/>
    <w:rsid w:val="001A0157"/>
    <w:rsid w:val="001B15BC"/>
    <w:rsid w:val="001F2789"/>
    <w:rsid w:val="0022027B"/>
    <w:rsid w:val="00230CDB"/>
    <w:rsid w:val="00240658"/>
    <w:rsid w:val="00273C8B"/>
    <w:rsid w:val="002767FB"/>
    <w:rsid w:val="00290A92"/>
    <w:rsid w:val="002D1060"/>
    <w:rsid w:val="002E3AEA"/>
    <w:rsid w:val="002F3D3B"/>
    <w:rsid w:val="0032246A"/>
    <w:rsid w:val="00324AB7"/>
    <w:rsid w:val="00327C79"/>
    <w:rsid w:val="00335329"/>
    <w:rsid w:val="0037048A"/>
    <w:rsid w:val="00375793"/>
    <w:rsid w:val="003915C4"/>
    <w:rsid w:val="003B13F3"/>
    <w:rsid w:val="003C6FE9"/>
    <w:rsid w:val="003C7680"/>
    <w:rsid w:val="003D6ACA"/>
    <w:rsid w:val="003E3DFB"/>
    <w:rsid w:val="00405E05"/>
    <w:rsid w:val="004218CA"/>
    <w:rsid w:val="004332B7"/>
    <w:rsid w:val="00437DDC"/>
    <w:rsid w:val="00491ACB"/>
    <w:rsid w:val="004C4CB7"/>
    <w:rsid w:val="005124BD"/>
    <w:rsid w:val="00534A0D"/>
    <w:rsid w:val="00536905"/>
    <w:rsid w:val="005374D9"/>
    <w:rsid w:val="0057263A"/>
    <w:rsid w:val="00576CD5"/>
    <w:rsid w:val="005961BD"/>
    <w:rsid w:val="005B5D89"/>
    <w:rsid w:val="005C3EA4"/>
    <w:rsid w:val="006075A8"/>
    <w:rsid w:val="0062656B"/>
    <w:rsid w:val="00636A8D"/>
    <w:rsid w:val="006944CA"/>
    <w:rsid w:val="006B0C2C"/>
    <w:rsid w:val="006C1650"/>
    <w:rsid w:val="006D0922"/>
    <w:rsid w:val="00756EA3"/>
    <w:rsid w:val="007626B0"/>
    <w:rsid w:val="00775F90"/>
    <w:rsid w:val="00777871"/>
    <w:rsid w:val="00791266"/>
    <w:rsid w:val="00791C57"/>
    <w:rsid w:val="00792589"/>
    <w:rsid w:val="00793BBE"/>
    <w:rsid w:val="007A3278"/>
    <w:rsid w:val="007B00C4"/>
    <w:rsid w:val="007E133E"/>
    <w:rsid w:val="007E7321"/>
    <w:rsid w:val="008319EA"/>
    <w:rsid w:val="00863FD4"/>
    <w:rsid w:val="008912C4"/>
    <w:rsid w:val="008E60BA"/>
    <w:rsid w:val="008F40E7"/>
    <w:rsid w:val="0093194F"/>
    <w:rsid w:val="0094297A"/>
    <w:rsid w:val="00973730"/>
    <w:rsid w:val="00984CAE"/>
    <w:rsid w:val="00991808"/>
    <w:rsid w:val="009E74E3"/>
    <w:rsid w:val="00A111D0"/>
    <w:rsid w:val="00A462C8"/>
    <w:rsid w:val="00A51D2D"/>
    <w:rsid w:val="00A579F3"/>
    <w:rsid w:val="00A71F58"/>
    <w:rsid w:val="00A75423"/>
    <w:rsid w:val="00A804A8"/>
    <w:rsid w:val="00A945FB"/>
    <w:rsid w:val="00AC0519"/>
    <w:rsid w:val="00AF7484"/>
    <w:rsid w:val="00B01034"/>
    <w:rsid w:val="00B02036"/>
    <w:rsid w:val="00B36DF2"/>
    <w:rsid w:val="00B4092D"/>
    <w:rsid w:val="00B476BA"/>
    <w:rsid w:val="00B849C2"/>
    <w:rsid w:val="00BD09DD"/>
    <w:rsid w:val="00BD2E40"/>
    <w:rsid w:val="00BE29A3"/>
    <w:rsid w:val="00BE5F59"/>
    <w:rsid w:val="00C0783E"/>
    <w:rsid w:val="00C154FD"/>
    <w:rsid w:val="00C226C5"/>
    <w:rsid w:val="00C36970"/>
    <w:rsid w:val="00CA265B"/>
    <w:rsid w:val="00CC04DB"/>
    <w:rsid w:val="00CC6C4B"/>
    <w:rsid w:val="00CF3897"/>
    <w:rsid w:val="00D04007"/>
    <w:rsid w:val="00D043A1"/>
    <w:rsid w:val="00D27E59"/>
    <w:rsid w:val="00D30194"/>
    <w:rsid w:val="00D35C21"/>
    <w:rsid w:val="00D7325A"/>
    <w:rsid w:val="00D84443"/>
    <w:rsid w:val="00D87FE4"/>
    <w:rsid w:val="00DA1C08"/>
    <w:rsid w:val="00DB4C07"/>
    <w:rsid w:val="00DD314E"/>
    <w:rsid w:val="00DF2939"/>
    <w:rsid w:val="00DF6367"/>
    <w:rsid w:val="00E40C08"/>
    <w:rsid w:val="00E52F69"/>
    <w:rsid w:val="00E77447"/>
    <w:rsid w:val="00EA3888"/>
    <w:rsid w:val="00ED006F"/>
    <w:rsid w:val="00ED11EA"/>
    <w:rsid w:val="00F07902"/>
    <w:rsid w:val="00F159F8"/>
    <w:rsid w:val="00F20911"/>
    <w:rsid w:val="00F24EA2"/>
    <w:rsid w:val="00F35A45"/>
    <w:rsid w:val="00F61542"/>
    <w:rsid w:val="00F77FCA"/>
    <w:rsid w:val="00FB2FD0"/>
    <w:rsid w:val="00FC7AA9"/>
    <w:rsid w:val="00FF5666"/>
    <w:rsid w:val="0B1A5483"/>
    <w:rsid w:val="0E06452B"/>
    <w:rsid w:val="0E3C308D"/>
    <w:rsid w:val="18A82BC6"/>
    <w:rsid w:val="1A1562AC"/>
    <w:rsid w:val="264B2FCC"/>
    <w:rsid w:val="27EF2839"/>
    <w:rsid w:val="292F0982"/>
    <w:rsid w:val="2A010DCC"/>
    <w:rsid w:val="2ABD38C8"/>
    <w:rsid w:val="3D5D053F"/>
    <w:rsid w:val="3E80785E"/>
    <w:rsid w:val="41E77BF5"/>
    <w:rsid w:val="48AC221C"/>
    <w:rsid w:val="4B866AF8"/>
    <w:rsid w:val="519531C9"/>
    <w:rsid w:val="556D3A0B"/>
    <w:rsid w:val="5B345801"/>
    <w:rsid w:val="5EC92704"/>
    <w:rsid w:val="5F8F5638"/>
    <w:rsid w:val="7297208C"/>
    <w:rsid w:val="7388144D"/>
    <w:rsid w:val="79AB4E4F"/>
    <w:rsid w:val="7BBA63C7"/>
    <w:rsid w:val="7E6367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rFonts w:cs="Times New Roman"/>
      <w:color w:val="0000FF" w:themeColor="hyperlink"/>
      <w:u w:val="single"/>
      <w14:textFill>
        <w14:solidFill>
          <w14:schemeClr w14:val="hlink"/>
        </w14:solidFill>
      </w14:textFill>
    </w:rPr>
  </w:style>
  <w:style w:type="paragraph" w:customStyle="1" w:styleId="12">
    <w:name w:val="Default"/>
    <w:qFormat/>
    <w:uiPriority w:val="0"/>
    <w:pPr>
      <w:widowControl w:val="0"/>
      <w:autoSpaceDE w:val="0"/>
      <w:autoSpaceDN w:val="0"/>
      <w:adjustRightInd w:val="0"/>
    </w:pPr>
    <w:rPr>
      <w:rFonts w:ascii="方正姚体" w:eastAsia="方正姚体" w:cs="方正姚体" w:hAnsiTheme="minorHAnsi"/>
      <w:color w:val="000000"/>
      <w:sz w:val="24"/>
      <w:szCs w:val="24"/>
      <w:lang w:val="en-US" w:eastAsia="zh-CN" w:bidi="ar-SA"/>
    </w:rPr>
  </w:style>
  <w:style w:type="character" w:customStyle="1" w:styleId="13">
    <w:name w:val="页眉 字符"/>
    <w:basedOn w:val="9"/>
    <w:link w:val="5"/>
    <w:qFormat/>
    <w:locked/>
    <w:uiPriority w:val="99"/>
    <w:rPr>
      <w:rFonts w:cs="Times New Roman"/>
      <w:sz w:val="18"/>
      <w:szCs w:val="18"/>
    </w:rPr>
  </w:style>
  <w:style w:type="character" w:customStyle="1" w:styleId="14">
    <w:name w:val="页脚 字符"/>
    <w:basedOn w:val="9"/>
    <w:link w:val="4"/>
    <w:qFormat/>
    <w:locked/>
    <w:uiPriority w:val="99"/>
    <w:rPr>
      <w:rFonts w:cs="Times New Roman"/>
      <w:sz w:val="18"/>
      <w:szCs w:val="18"/>
    </w:rPr>
  </w:style>
  <w:style w:type="character" w:customStyle="1" w:styleId="15">
    <w:name w:val="批注框文本 字符"/>
    <w:basedOn w:val="9"/>
    <w:link w:val="3"/>
    <w:semiHidden/>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font21"/>
    <w:basedOn w:val="9"/>
    <w:qFormat/>
    <w:uiPriority w:val="0"/>
    <w:rPr>
      <w:rFonts w:ascii="Calibri" w:hAnsi="Calibri" w:cs="Calibri"/>
      <w:color w:val="000000"/>
      <w:sz w:val="21"/>
      <w:szCs w:val="21"/>
      <w:u w:val="none"/>
    </w:rPr>
  </w:style>
  <w:style w:type="character" w:customStyle="1" w:styleId="18">
    <w:name w:val="font11"/>
    <w:basedOn w:val="9"/>
    <w:qFormat/>
    <w:uiPriority w:val="0"/>
    <w:rPr>
      <w:rFonts w:hint="eastAsia" w:ascii="宋体" w:hAnsi="宋体" w:eastAsia="宋体" w:cs="宋体"/>
      <w:color w:val="000000"/>
      <w:sz w:val="21"/>
      <w:szCs w:val="21"/>
      <w:u w:val="none"/>
    </w:rPr>
  </w:style>
  <w:style w:type="character" w:customStyle="1" w:styleId="19">
    <w:name w:val="正文文本 字符"/>
    <w:basedOn w:val="9"/>
    <w:link w:val="2"/>
    <w:semiHidden/>
    <w:qFormat/>
    <w:uiPriority w:val="0"/>
    <w:rPr>
      <w:rFonts w:ascii="仿宋" w:hAnsi="仿宋" w:eastAsia="仿宋" w:cs="仿宋"/>
      <w:snapToGrid w:val="0"/>
      <w:color w:val="000000"/>
      <w:sz w:val="31"/>
      <w:szCs w:val="31"/>
      <w:lang w:eastAsia="en-US"/>
    </w:rPr>
  </w:style>
  <w:style w:type="paragraph" w:customStyle="1" w:styleId="20">
    <w:name w:val="修订1"/>
    <w:hidden/>
    <w:unhideWhenUsed/>
    <w:qFormat/>
    <w:uiPriority w:val="99"/>
    <w:rPr>
      <w:rFonts w:cs="Times New Roman" w:asciiTheme="minorHAnsi" w:hAnsiTheme="minorHAnsi" w:eastAsiaTheme="minorEastAsia"/>
      <w:kern w:val="2"/>
      <w:sz w:val="21"/>
      <w:szCs w:val="22"/>
      <w:lang w:val="en-US" w:eastAsia="zh-CN" w:bidi="ar-SA"/>
    </w:rPr>
  </w:style>
  <w:style w:type="paragraph" w:customStyle="1" w:styleId="21">
    <w:name w:val="Revision"/>
    <w:hidden/>
    <w:unhideWhenUsed/>
    <w:qFormat/>
    <w:uiPriority w:val="99"/>
    <w:rPr>
      <w:rFonts w:cs="Times New Roman" w:asciiTheme="minorHAnsi" w:hAnsiTheme="minorHAnsi"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3111</Words>
  <Characters>3126</Characters>
  <Lines>22</Lines>
  <Paragraphs>6</Paragraphs>
  <TotalTime>37</TotalTime>
  <ScaleCrop>false</ScaleCrop>
  <LinksUpToDate>false</LinksUpToDate>
  <CharactersWithSpaces>3126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2025-12-10T04:04:00Z</dcterms:created>
  <dc:creator>zcsj023</dc:creator>
  <cp:lastModifiedBy>广平君</cp:lastModifiedBy>
  <cp:lastPrinted>2025-12-12T01:54:04Z</cp:lastPrinted>
  <dcterms:modified xsi:type="dcterms:W3CDTF">2025-12-12T08:14:58Z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eyJoZGlkIjoiZDJiNjZiNTFhN2Y5NjY1MWM4OGY2MmY3ZjNlMTA5NTciLCJ1c2VySWQiOiI0NjU3MzE5NjQifQ==</vt:lpwstr>
  </property>
  <property fmtid="{D5CDD505-2E9C-101B-9397-08002B2CF9AE}" pid="3" name="KSOProductBuildVer">
    <vt:lpwstr>2052-12.1.0.23542</vt:lpwstr>
  </property>
  <property fmtid="{D5CDD505-2E9C-101B-9397-08002B2CF9AE}" pid="4" name="ICV">
    <vt:lpwstr>8AB0A80A44F34406A683496A765B77A3_13</vt:lpwstr>
  </property>
</Properties>
</file>